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DCF29" w14:textId="64F1F728" w:rsidR="004F6EAD" w:rsidRPr="00500ADC" w:rsidRDefault="004F6EAD" w:rsidP="009C2CE6">
      <w:pPr>
        <w:spacing w:after="0" w:line="240" w:lineRule="auto"/>
        <w:rPr>
          <w:rFonts w:ascii="Times New Roman" w:hAnsi="Times New Roman" w:cs="Times New Roman"/>
          <w:b/>
        </w:rPr>
      </w:pPr>
      <w:bookmarkStart w:id="0" w:name="_GoBack"/>
      <w:bookmarkEnd w:id="0"/>
    </w:p>
    <w:tbl>
      <w:tblPr>
        <w:tblStyle w:val="Tabela-Siatka"/>
        <w:tblpPr w:leftFromText="141" w:rightFromText="141" w:vertAnchor="text" w:tblpXSpec="center" w:tblpY="1"/>
        <w:tblOverlap w:val="never"/>
        <w:tblW w:w="15659" w:type="dxa"/>
        <w:tblLayout w:type="fixed"/>
        <w:tblLook w:val="04A0" w:firstRow="1" w:lastRow="0" w:firstColumn="1" w:lastColumn="0" w:noHBand="0" w:noVBand="1"/>
      </w:tblPr>
      <w:tblGrid>
        <w:gridCol w:w="704"/>
        <w:gridCol w:w="1402"/>
        <w:gridCol w:w="2000"/>
        <w:gridCol w:w="6159"/>
        <w:gridCol w:w="5394"/>
      </w:tblGrid>
      <w:tr w:rsidR="00DA2046" w:rsidRPr="00500ADC" w14:paraId="3F3046DE" w14:textId="77777777" w:rsidTr="009C18F3">
        <w:tc>
          <w:tcPr>
            <w:tcW w:w="704" w:type="dxa"/>
            <w:shd w:val="clear" w:color="auto" w:fill="F2F2F2" w:themeFill="background1" w:themeFillShade="F2"/>
            <w:vAlign w:val="center"/>
          </w:tcPr>
          <w:p w14:paraId="54913EB2" w14:textId="77777777" w:rsidR="00DA2046" w:rsidRPr="00500ADC" w:rsidRDefault="001E6CBB" w:rsidP="009C2CE6">
            <w:pPr>
              <w:pStyle w:val="Akapitzlist"/>
              <w:ind w:left="-117"/>
              <w:contextualSpacing w:val="0"/>
              <w:jc w:val="center"/>
              <w:rPr>
                <w:rFonts w:ascii="Times New Roman" w:hAnsi="Times New Roman" w:cs="Times New Roman"/>
                <w:b/>
              </w:rPr>
            </w:pPr>
            <w:r w:rsidRPr="00500ADC">
              <w:rPr>
                <w:rFonts w:ascii="Times New Roman" w:hAnsi="Times New Roman" w:cs="Times New Roman"/>
                <w:b/>
              </w:rPr>
              <w:t>Lp.</w:t>
            </w:r>
          </w:p>
        </w:tc>
        <w:tc>
          <w:tcPr>
            <w:tcW w:w="1402" w:type="dxa"/>
            <w:shd w:val="clear" w:color="auto" w:fill="F2F2F2" w:themeFill="background1" w:themeFillShade="F2"/>
            <w:vAlign w:val="center"/>
          </w:tcPr>
          <w:p w14:paraId="631F1498" w14:textId="69BB509C" w:rsidR="00DA2046" w:rsidRPr="00500ADC" w:rsidRDefault="00E90EC8" w:rsidP="009C2CE6">
            <w:pPr>
              <w:jc w:val="center"/>
              <w:rPr>
                <w:rFonts w:ascii="Times New Roman" w:hAnsi="Times New Roman" w:cs="Times New Roman"/>
                <w:b/>
              </w:rPr>
            </w:pPr>
            <w:r>
              <w:rPr>
                <w:rFonts w:ascii="Times New Roman" w:hAnsi="Times New Roman" w:cs="Times New Roman"/>
                <w:b/>
              </w:rPr>
              <w:t>Przepis</w:t>
            </w:r>
          </w:p>
        </w:tc>
        <w:tc>
          <w:tcPr>
            <w:tcW w:w="2000" w:type="dxa"/>
            <w:shd w:val="clear" w:color="auto" w:fill="F2F2F2" w:themeFill="background1" w:themeFillShade="F2"/>
            <w:vAlign w:val="center"/>
          </w:tcPr>
          <w:p w14:paraId="3A65F492" w14:textId="6D82CDD8" w:rsidR="00DA2046" w:rsidRPr="00500ADC" w:rsidRDefault="00E90EC8" w:rsidP="009C2CE6">
            <w:pPr>
              <w:jc w:val="center"/>
              <w:rPr>
                <w:rFonts w:ascii="Times New Roman" w:hAnsi="Times New Roman" w:cs="Times New Roman"/>
                <w:b/>
              </w:rPr>
            </w:pPr>
            <w:r>
              <w:rPr>
                <w:rFonts w:ascii="Times New Roman" w:hAnsi="Times New Roman" w:cs="Times New Roman"/>
                <w:b/>
              </w:rPr>
              <w:t>Instytucja</w:t>
            </w:r>
          </w:p>
        </w:tc>
        <w:tc>
          <w:tcPr>
            <w:tcW w:w="6159" w:type="dxa"/>
            <w:shd w:val="clear" w:color="auto" w:fill="F2F2F2" w:themeFill="background1" w:themeFillShade="F2"/>
            <w:vAlign w:val="center"/>
          </w:tcPr>
          <w:p w14:paraId="74644759" w14:textId="77777777" w:rsidR="00DA2046" w:rsidRPr="00500ADC" w:rsidRDefault="00DA2046" w:rsidP="009C2CE6">
            <w:pPr>
              <w:jc w:val="center"/>
              <w:rPr>
                <w:rFonts w:ascii="Times New Roman" w:hAnsi="Times New Roman" w:cs="Times New Roman"/>
                <w:b/>
              </w:rPr>
            </w:pPr>
            <w:r w:rsidRPr="00500ADC">
              <w:rPr>
                <w:rFonts w:ascii="Times New Roman" w:hAnsi="Times New Roman" w:cs="Times New Roman"/>
                <w:b/>
              </w:rPr>
              <w:t>Treść uwagi</w:t>
            </w:r>
          </w:p>
        </w:tc>
        <w:tc>
          <w:tcPr>
            <w:tcW w:w="5394" w:type="dxa"/>
            <w:shd w:val="clear" w:color="auto" w:fill="F2F2F2" w:themeFill="background1" w:themeFillShade="F2"/>
            <w:vAlign w:val="center"/>
          </w:tcPr>
          <w:p w14:paraId="46121805" w14:textId="4AB412E5" w:rsidR="00DA2046" w:rsidRPr="00500ADC" w:rsidRDefault="00E90EC8" w:rsidP="009C2CE6">
            <w:pPr>
              <w:jc w:val="center"/>
              <w:rPr>
                <w:rFonts w:ascii="Times New Roman" w:hAnsi="Times New Roman" w:cs="Times New Roman"/>
                <w:b/>
              </w:rPr>
            </w:pPr>
            <w:r>
              <w:rPr>
                <w:rFonts w:ascii="Times New Roman" w:hAnsi="Times New Roman" w:cs="Times New Roman"/>
                <w:b/>
              </w:rPr>
              <w:t>Stanowisko MRiRW</w:t>
            </w:r>
          </w:p>
        </w:tc>
      </w:tr>
      <w:tr w:rsidR="00761177" w:rsidRPr="00500ADC" w14:paraId="429EAD6E" w14:textId="77777777" w:rsidTr="005E6BF1">
        <w:tc>
          <w:tcPr>
            <w:tcW w:w="704" w:type="dxa"/>
          </w:tcPr>
          <w:p w14:paraId="3DDA39A0" w14:textId="77777777" w:rsidR="00761177" w:rsidRPr="00500ADC" w:rsidRDefault="00761177" w:rsidP="009C2CE6">
            <w:pPr>
              <w:pStyle w:val="Akapitzlist"/>
              <w:numPr>
                <w:ilvl w:val="1"/>
                <w:numId w:val="19"/>
              </w:numPr>
              <w:ind w:firstLine="29"/>
              <w:contextualSpacing w:val="0"/>
              <w:rPr>
                <w:rFonts w:ascii="Times New Roman" w:hAnsi="Times New Roman" w:cs="Times New Roman"/>
              </w:rPr>
            </w:pPr>
          </w:p>
        </w:tc>
        <w:tc>
          <w:tcPr>
            <w:tcW w:w="1402" w:type="dxa"/>
          </w:tcPr>
          <w:p w14:paraId="77E1788D" w14:textId="2A12100B" w:rsidR="00761177" w:rsidRPr="00500ADC" w:rsidRDefault="00761177" w:rsidP="009C2CE6">
            <w:pPr>
              <w:rPr>
                <w:rFonts w:ascii="Times New Roman" w:hAnsi="Times New Roman" w:cs="Times New Roman"/>
              </w:rPr>
            </w:pPr>
            <w:r w:rsidRPr="00500ADC">
              <w:rPr>
                <w:rFonts w:ascii="Times New Roman" w:hAnsi="Times New Roman" w:cs="Times New Roman"/>
              </w:rPr>
              <w:t>art. 1 pkt 14</w:t>
            </w:r>
          </w:p>
        </w:tc>
        <w:tc>
          <w:tcPr>
            <w:tcW w:w="2000" w:type="dxa"/>
          </w:tcPr>
          <w:p w14:paraId="1FDAB9BA" w14:textId="08A2F442" w:rsidR="00761177" w:rsidRPr="00500ADC" w:rsidRDefault="00761177" w:rsidP="009C2CE6">
            <w:pPr>
              <w:rPr>
                <w:rFonts w:ascii="Times New Roman" w:hAnsi="Times New Roman" w:cs="Times New Roman"/>
              </w:rPr>
            </w:pPr>
            <w:r w:rsidRPr="00500ADC">
              <w:rPr>
                <w:rFonts w:ascii="Times New Roman" w:hAnsi="Times New Roman" w:cs="Times New Roman"/>
              </w:rPr>
              <w:t>Rzecznik Małych i Średnich Przedsiębiorców</w:t>
            </w:r>
          </w:p>
        </w:tc>
        <w:tc>
          <w:tcPr>
            <w:tcW w:w="6159" w:type="dxa"/>
          </w:tcPr>
          <w:p w14:paraId="5CBCC3C2" w14:textId="77777777" w:rsidR="00761177" w:rsidRPr="00500ADC" w:rsidRDefault="00761177" w:rsidP="00A50304">
            <w:pPr>
              <w:widowControl w:val="0"/>
              <w:tabs>
                <w:tab w:val="left" w:pos="710"/>
              </w:tabs>
              <w:ind w:left="26" w:hanging="26"/>
              <w:rPr>
                <w:rFonts w:ascii="Times New Roman" w:hAnsi="Times New Roman" w:cs="Times New Roman"/>
              </w:rPr>
            </w:pPr>
            <w:r w:rsidRPr="00500ADC">
              <w:rPr>
                <w:rFonts w:ascii="Times New Roman" w:hAnsi="Times New Roman" w:cs="Times New Roman"/>
              </w:rPr>
              <w:t>Należy przyjąć, że wyłączenie istotnych dla przedsiębiorców gwarancji art. 58 ust. i Prawa przedsiębiorców (Konstytucji Biznesu) może być uzasadniane jedynie nadzwyczajnymi okolicznościami i powinno być dokonywane wyłącznie poprzez ewentualne wprowadzanie zmian do ust. 2 ww. przepisu, a nic dokonywanie modyfikacji w ustawach szczególnych.</w:t>
            </w:r>
          </w:p>
          <w:p w14:paraId="50AED5BF" w14:textId="77777777" w:rsidR="00761177" w:rsidRPr="00500ADC" w:rsidRDefault="00761177" w:rsidP="00943419">
            <w:pPr>
              <w:widowControl w:val="0"/>
              <w:tabs>
                <w:tab w:val="left" w:pos="710"/>
              </w:tabs>
              <w:ind w:left="26" w:hanging="26"/>
              <w:rPr>
                <w:rFonts w:ascii="Times New Roman" w:hAnsi="Times New Roman" w:cs="Times New Roman"/>
              </w:rPr>
            </w:pPr>
            <w:r w:rsidRPr="00500ADC">
              <w:rPr>
                <w:rFonts w:ascii="Times New Roman" w:hAnsi="Times New Roman" w:cs="Times New Roman"/>
              </w:rPr>
              <w:t>Za zbyt daleko idącą uznać należy możliwość wyłączenia art. 58 ust. 1 Prawa przedsiębiorców (Konstytucji Biznesu), zabraniającego kontroli, gdy ma ona dotyczyć przedmiotu kontroli objętego uprzednio zakończoną kontrolą przeprowadzoną przez ten sam organ. Wyłączenie przepisu Konstytucji Biznesu miałoby nastąpić poprzez dodanie art. 28b ust. 5 do ustawy o jakości handlowej artykułów rolno-spożywczych, odnośnie transakcji finansowanych z Europejskiego funduszu Rolniczego Gwarancji, realizowanych w ramach Wspólnej Polityki Rolnej, poprzez wprowadzenie kolejnego nadzwyczajnego etapu weryfikacji i przyznanie dodatkowych kompetencji kontrolnych Głównemu Inspektorowi Jakości Handlowej Artykułów Rolno-Spożywczych.</w:t>
            </w:r>
          </w:p>
          <w:p w14:paraId="2513DBD4" w14:textId="5E4AEC48" w:rsidR="00761177" w:rsidRPr="00500ADC" w:rsidRDefault="00761177" w:rsidP="00943419">
            <w:pPr>
              <w:widowControl w:val="0"/>
              <w:tabs>
                <w:tab w:val="left" w:pos="710"/>
              </w:tabs>
              <w:ind w:left="26" w:hanging="26"/>
              <w:rPr>
                <w:rFonts w:ascii="Times New Roman" w:hAnsi="Times New Roman" w:cs="Times New Roman"/>
              </w:rPr>
            </w:pPr>
            <w:r w:rsidRPr="00500ADC">
              <w:rPr>
                <w:rFonts w:ascii="Times New Roman" w:hAnsi="Times New Roman" w:cs="Times New Roman"/>
              </w:rPr>
              <w:t>Podkreślenia wymaga to, że obowiązujący art. 58 ust. 2 Prawa przedsiębiorców (Konstytucji Biznesu) przewiduje liczne wyłączenia, które ewentualnie mogłyby być stosowane przez Głównego Inspektora Jakości Handlowej Artykułów Rolno- Spożywczych bez wprowadzania art. 28b ust. 5.</w:t>
            </w:r>
          </w:p>
        </w:tc>
        <w:tc>
          <w:tcPr>
            <w:tcW w:w="5394" w:type="dxa"/>
          </w:tcPr>
          <w:p w14:paraId="2ECDE8B4" w14:textId="11A3C049" w:rsidR="001D4251" w:rsidRPr="001D4251" w:rsidRDefault="001D4251" w:rsidP="001D4251">
            <w:pPr>
              <w:rPr>
                <w:rFonts w:ascii="Times New Roman" w:hAnsi="Times New Roman" w:cs="Times New Roman"/>
              </w:rPr>
            </w:pPr>
            <w:r>
              <w:rPr>
                <w:rFonts w:ascii="Times New Roman" w:hAnsi="Times New Roman" w:cs="Times New Roman"/>
              </w:rPr>
              <w:t xml:space="preserve">Proponowana zmiana przepisów odnosi się do </w:t>
            </w:r>
            <w:r w:rsidRPr="001D4251">
              <w:rPr>
                <w:rFonts w:ascii="Times New Roman" w:hAnsi="Times New Roman" w:cs="Times New Roman"/>
              </w:rPr>
              <w:t>kontroli, których ramy określono w rozporządzeniu Parlamentu Europejskiego i Rady (UE) nr 13</w:t>
            </w:r>
            <w:r>
              <w:rPr>
                <w:rFonts w:ascii="Times New Roman" w:hAnsi="Times New Roman" w:cs="Times New Roman"/>
              </w:rPr>
              <w:t>06/2013.</w:t>
            </w:r>
            <w:r w:rsidRPr="001D4251">
              <w:rPr>
                <w:rFonts w:ascii="Times New Roman" w:hAnsi="Times New Roman" w:cs="Times New Roman"/>
              </w:rPr>
              <w:t xml:space="preserve"> </w:t>
            </w:r>
            <w:r>
              <w:rPr>
                <w:rFonts w:ascii="Times New Roman" w:hAnsi="Times New Roman" w:cs="Times New Roman"/>
              </w:rPr>
              <w:t xml:space="preserve">Prawidłowość dokonywania tych kontroli </w:t>
            </w:r>
            <w:r w:rsidRPr="001D4251">
              <w:rPr>
                <w:rFonts w:ascii="Times New Roman" w:hAnsi="Times New Roman" w:cs="Times New Roman"/>
              </w:rPr>
              <w:t xml:space="preserve">jest badana przez Komisję Europejską, dlatego też istnieje konieczność pełnego potwierdzenia w kontroli ex-post prawidłowości transakcji dokonanych przez agencję płatniczą ze środków UE, w niektórych sytuacjach również przez organ drugiej instancji. Powyższe przypadki nie  będą stanowić reguły, a jedynie będą mogły się odbywać w nielicznych, </w:t>
            </w:r>
            <w:r>
              <w:rPr>
                <w:rFonts w:ascii="Times New Roman" w:hAnsi="Times New Roman" w:cs="Times New Roman"/>
              </w:rPr>
              <w:t>wyjątkowych sytuacjach, w których dodatkowa weryfikacja okaże się</w:t>
            </w:r>
            <w:r w:rsidRPr="001D4251">
              <w:rPr>
                <w:rFonts w:ascii="Times New Roman" w:hAnsi="Times New Roman" w:cs="Times New Roman"/>
              </w:rPr>
              <w:t xml:space="preserve"> niezbędn</w:t>
            </w:r>
            <w:r>
              <w:rPr>
                <w:rFonts w:ascii="Times New Roman" w:hAnsi="Times New Roman" w:cs="Times New Roman"/>
              </w:rPr>
              <w:t>a w celu wyeliminowania wątpliwości</w:t>
            </w:r>
            <w:r w:rsidRPr="001D4251">
              <w:rPr>
                <w:rFonts w:ascii="Times New Roman" w:hAnsi="Times New Roman" w:cs="Times New Roman"/>
              </w:rPr>
              <w:t>.</w:t>
            </w:r>
            <w:r w:rsidR="00134A37">
              <w:t xml:space="preserve"> </w:t>
            </w:r>
            <w:r w:rsidR="00134A37" w:rsidRPr="00134A37">
              <w:rPr>
                <w:rFonts w:ascii="Times New Roman" w:hAnsi="Times New Roman" w:cs="Times New Roman"/>
              </w:rPr>
              <w:t xml:space="preserve">Ponadto </w:t>
            </w:r>
            <w:r w:rsidR="00134A37">
              <w:t>k</w:t>
            </w:r>
            <w:r w:rsidR="00134A37" w:rsidRPr="00134A37">
              <w:rPr>
                <w:rFonts w:ascii="Times New Roman" w:hAnsi="Times New Roman" w:cs="Times New Roman"/>
              </w:rPr>
              <w:t>ontrole ex-post, o których mowa w art. 17c ust. 1 ustawy o jhars, dotyczą największych podmiotów, które podjęły decyzję o uczestniczeniu w mechanizmach finansowanych przez Europejski Fundusz Rolniczy Gwarancji.</w:t>
            </w:r>
          </w:p>
          <w:p w14:paraId="2C65001B" w14:textId="77777777" w:rsidR="001D4251" w:rsidRPr="001D4251" w:rsidRDefault="001D4251" w:rsidP="001D4251">
            <w:pPr>
              <w:rPr>
                <w:rFonts w:ascii="Times New Roman" w:hAnsi="Times New Roman" w:cs="Times New Roman"/>
              </w:rPr>
            </w:pPr>
            <w:r w:rsidRPr="001D4251">
              <w:rPr>
                <w:rFonts w:ascii="Times New Roman" w:hAnsi="Times New Roman" w:cs="Times New Roman"/>
              </w:rPr>
              <w:t>W Polsce kontrole tego rodzaju (ex-post) rozdzielono między Inspekcję Jakości Handlowej Artykułów Rolno-Spożywczych (mechanizmy rynku wewnętrznego) a Krajową Administrację Skarbową (refundacje eksportowe). Na podstawie art. 93 ustawy o Krajowej Administracji Skarbowej kontrole ex-post prowadzone przez KAS są wyłączone z zakazu określonego w art. 58 ust. 1 Prawa przedsiębiorców. Proponowane zapisy nowelizacji ustawy o ijhars mają na celu ujednolicenie uprawnień służb wykonujących kontrole ex-post w Polsce.  Możliwość zlecenia przez Głównego Inspektora JHARS wykonania ponownej kontroli ex post przez wojewódzkiego inspektora w przypadkach, gdy ustalenia z przeprowadzonej wcześniej kontroli nie pozwalają potwierdzić prawidłowości dokonania transakcji, stanowi niezbędne narzędzie realizowania nadzoru nad działalnością Inspekcji w tym zakresie. Wzmocnienie tego nadzoru jest jednym z celów przeprowadzanych zmian ustawy o jhars.</w:t>
            </w:r>
          </w:p>
          <w:p w14:paraId="62443765" w14:textId="5E0BAF4C" w:rsidR="00AC7D13" w:rsidRPr="00500ADC" w:rsidRDefault="001D4251" w:rsidP="001D4251">
            <w:pPr>
              <w:rPr>
                <w:rFonts w:ascii="Times New Roman" w:hAnsi="Times New Roman" w:cs="Times New Roman"/>
              </w:rPr>
            </w:pPr>
            <w:r w:rsidRPr="001D4251">
              <w:rPr>
                <w:rFonts w:ascii="Times New Roman" w:hAnsi="Times New Roman" w:cs="Times New Roman"/>
              </w:rPr>
              <w:t xml:space="preserve">Dodatkowo podkreślenia wymaga, że kontrole prowadzone przez IJHARS w omawianym zakresie </w:t>
            </w:r>
            <w:r w:rsidRPr="001D4251">
              <w:rPr>
                <w:rFonts w:ascii="Times New Roman" w:hAnsi="Times New Roman" w:cs="Times New Roman"/>
              </w:rPr>
              <w:lastRenderedPageBreak/>
              <w:t>dotyczą zarówno przedsiębiorców jak i podmiotów nie będących przedsiębiorcami. Do wszystkich zaś podmiotów muszą być stosowane jednakowe wymogi prawne.</w:t>
            </w:r>
            <w:r w:rsidR="00134A37">
              <w:rPr>
                <w:rFonts w:ascii="Times New Roman" w:hAnsi="Times New Roman" w:cs="Times New Roman"/>
              </w:rPr>
              <w:t xml:space="preserve"> Dlatego też proponowane w projekcie ustawy zmiany w zakresie kontroli ex-post są bardzo istotne. </w:t>
            </w:r>
            <w:r w:rsidR="00AC7D13" w:rsidRPr="00500ADC">
              <w:rPr>
                <w:rFonts w:ascii="Times New Roman" w:hAnsi="Times New Roman" w:cs="Times New Roman"/>
              </w:rPr>
              <w:t xml:space="preserve">Należy </w:t>
            </w:r>
            <w:r w:rsidR="00134A37">
              <w:rPr>
                <w:rFonts w:ascii="Times New Roman" w:hAnsi="Times New Roman" w:cs="Times New Roman"/>
              </w:rPr>
              <w:t xml:space="preserve">przy tym </w:t>
            </w:r>
            <w:r w:rsidR="00AC7D13" w:rsidRPr="00500ADC">
              <w:rPr>
                <w:rFonts w:ascii="Times New Roman" w:hAnsi="Times New Roman" w:cs="Times New Roman"/>
              </w:rPr>
              <w:t xml:space="preserve">mieć na uwadze, że dotychczasowa praktyka legislacyjna wskazuje na powszechne wyłączanie stosowania ustawy Prawo przedsiębiorców właśnie w ustawach szczegółowych. Wyłączenia takie występują również w ustawie o jhars (np. art. 25 ust. 4). </w:t>
            </w:r>
            <w:r w:rsidR="00134A37">
              <w:rPr>
                <w:rFonts w:ascii="Times New Roman" w:hAnsi="Times New Roman" w:cs="Times New Roman"/>
              </w:rPr>
              <w:t>Dodatkowo podkreślenia wymaga</w:t>
            </w:r>
            <w:r w:rsidR="00AC7D13" w:rsidRPr="00500ADC">
              <w:rPr>
                <w:rFonts w:ascii="Times New Roman" w:hAnsi="Times New Roman" w:cs="Times New Roman"/>
              </w:rPr>
              <w:t xml:space="preserve">, że sam </w:t>
            </w:r>
            <w:r w:rsidR="00BB7F0B" w:rsidRPr="00500ADC">
              <w:rPr>
                <w:rFonts w:ascii="Times New Roman" w:hAnsi="Times New Roman" w:cs="Times New Roman"/>
              </w:rPr>
              <w:t xml:space="preserve">fakt </w:t>
            </w:r>
            <w:r w:rsidR="00AC7D13" w:rsidRPr="00500ADC">
              <w:rPr>
                <w:rFonts w:ascii="Times New Roman" w:hAnsi="Times New Roman" w:cs="Times New Roman"/>
              </w:rPr>
              <w:t xml:space="preserve">odesłania </w:t>
            </w:r>
            <w:r w:rsidR="00BB7F0B" w:rsidRPr="00500ADC">
              <w:rPr>
                <w:rFonts w:ascii="Times New Roman" w:hAnsi="Times New Roman" w:cs="Times New Roman"/>
              </w:rPr>
              <w:t>zawartego w art. 27a ustawy o jhars wskazuje, że przepisy ustawy Prawo przedsiębiorców do kontroli prowadzonych przez IJHARS mają zastosowanie dopiero w zakresie nieuregulowanym w ustawie kompetencyjnej, tj. ustawie o jhars.</w:t>
            </w:r>
          </w:p>
          <w:p w14:paraId="05E523E5" w14:textId="70CA983A" w:rsidR="00B87C7F" w:rsidRPr="00584383" w:rsidRDefault="00B87C7F" w:rsidP="00134A37">
            <w:pPr>
              <w:rPr>
                <w:rFonts w:ascii="Times New Roman" w:eastAsia="Times New Roman" w:hAnsi="Times New Roman" w:cs="Times New Roman"/>
                <w:shd w:val="clear" w:color="auto" w:fill="FFFFFF"/>
                <w:lang w:eastAsia="pl-PL"/>
              </w:rPr>
            </w:pPr>
          </w:p>
        </w:tc>
      </w:tr>
    </w:tbl>
    <w:p w14:paraId="542C3F6F" w14:textId="53539D44" w:rsidR="00202D6F" w:rsidRPr="00500ADC" w:rsidRDefault="00202D6F" w:rsidP="009C2CE6">
      <w:pPr>
        <w:spacing w:after="0" w:line="240" w:lineRule="auto"/>
        <w:jc w:val="both"/>
        <w:rPr>
          <w:rFonts w:ascii="Times New Roman" w:hAnsi="Times New Roman" w:cs="Times New Roman"/>
        </w:rPr>
      </w:pPr>
    </w:p>
    <w:sectPr w:rsidR="00202D6F" w:rsidRPr="00500ADC" w:rsidSect="00C1632C">
      <w:headerReference w:type="default" r:id="rId8"/>
      <w:footerReference w:type="default" r:id="rId9"/>
      <w:headerReference w:type="first" r:id="rId10"/>
      <w:footerReference w:type="first" r:id="rId11"/>
      <w:pgSz w:w="16838" w:h="11906" w:orient="landscape" w:code="9"/>
      <w:pgMar w:top="720" w:right="720" w:bottom="720" w:left="720" w:header="136"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A51D4" w14:textId="77777777" w:rsidR="00725273" w:rsidRDefault="00725273" w:rsidP="004213C7">
      <w:pPr>
        <w:spacing w:after="0" w:line="240" w:lineRule="auto"/>
      </w:pPr>
      <w:r>
        <w:separator/>
      </w:r>
    </w:p>
  </w:endnote>
  <w:endnote w:type="continuationSeparator" w:id="0">
    <w:p w14:paraId="76E16A4D" w14:textId="77777777" w:rsidR="00725273" w:rsidRDefault="00725273" w:rsidP="00421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924494"/>
      <w:docPartObj>
        <w:docPartGallery w:val="Page Numbers (Bottom of Page)"/>
        <w:docPartUnique/>
      </w:docPartObj>
    </w:sdtPr>
    <w:sdtEndPr/>
    <w:sdtContent>
      <w:sdt>
        <w:sdtPr>
          <w:id w:val="-398435759"/>
          <w:docPartObj>
            <w:docPartGallery w:val="Page Numbers (Top of Page)"/>
            <w:docPartUnique/>
          </w:docPartObj>
        </w:sdtPr>
        <w:sdtEndPr/>
        <w:sdtContent>
          <w:p w14:paraId="580E7B38" w14:textId="1DB6D1D4" w:rsidR="0046498B" w:rsidRDefault="0046498B">
            <w:pPr>
              <w:pStyle w:val="Stopka"/>
              <w:jc w:val="right"/>
            </w:pPr>
            <w:r w:rsidRPr="00C7008C">
              <w:t xml:space="preserve">Strona </w:t>
            </w:r>
            <w:r w:rsidRPr="00815279">
              <w:rPr>
                <w:bCs/>
                <w:sz w:val="24"/>
                <w:szCs w:val="24"/>
              </w:rPr>
              <w:fldChar w:fldCharType="begin"/>
            </w:r>
            <w:r w:rsidRPr="00815279">
              <w:rPr>
                <w:bCs/>
              </w:rPr>
              <w:instrText>PAGE</w:instrText>
            </w:r>
            <w:r w:rsidRPr="00815279">
              <w:rPr>
                <w:bCs/>
                <w:sz w:val="24"/>
                <w:szCs w:val="24"/>
              </w:rPr>
              <w:fldChar w:fldCharType="separate"/>
            </w:r>
            <w:r w:rsidR="00B35BB9">
              <w:rPr>
                <w:bCs/>
                <w:noProof/>
              </w:rPr>
              <w:t>2</w:t>
            </w:r>
            <w:r w:rsidRPr="00815279">
              <w:rPr>
                <w:bCs/>
                <w:sz w:val="24"/>
                <w:szCs w:val="24"/>
              </w:rPr>
              <w:fldChar w:fldCharType="end"/>
            </w:r>
            <w:r w:rsidRPr="00C7008C">
              <w:t xml:space="preserve"> z </w:t>
            </w:r>
            <w:r w:rsidRPr="00815279">
              <w:rPr>
                <w:bCs/>
                <w:sz w:val="24"/>
                <w:szCs w:val="24"/>
              </w:rPr>
              <w:fldChar w:fldCharType="begin"/>
            </w:r>
            <w:r w:rsidRPr="00815279">
              <w:rPr>
                <w:bCs/>
              </w:rPr>
              <w:instrText>NUMPAGES</w:instrText>
            </w:r>
            <w:r w:rsidRPr="00815279">
              <w:rPr>
                <w:bCs/>
                <w:sz w:val="24"/>
                <w:szCs w:val="24"/>
              </w:rPr>
              <w:fldChar w:fldCharType="separate"/>
            </w:r>
            <w:r w:rsidR="00B35BB9">
              <w:rPr>
                <w:bCs/>
                <w:noProof/>
              </w:rPr>
              <w:t>2</w:t>
            </w:r>
            <w:r w:rsidRPr="00815279">
              <w:rPr>
                <w:bCs/>
                <w:sz w:val="24"/>
                <w:szCs w:val="24"/>
              </w:rPr>
              <w:fldChar w:fldCharType="end"/>
            </w:r>
          </w:p>
        </w:sdtContent>
      </w:sdt>
    </w:sdtContent>
  </w:sdt>
  <w:p w14:paraId="06D2A88D" w14:textId="77777777" w:rsidR="0046498B" w:rsidRDefault="004649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030808"/>
      <w:docPartObj>
        <w:docPartGallery w:val="Page Numbers (Bottom of Page)"/>
        <w:docPartUnique/>
      </w:docPartObj>
    </w:sdtPr>
    <w:sdtEndPr/>
    <w:sdtContent>
      <w:p w14:paraId="4982AB94" w14:textId="2B8F2517" w:rsidR="0046498B" w:rsidRDefault="0046498B">
        <w:pPr>
          <w:pStyle w:val="Stopka"/>
          <w:jc w:val="right"/>
        </w:pPr>
        <w:r>
          <w:fldChar w:fldCharType="begin"/>
        </w:r>
        <w:r>
          <w:instrText>PAGE   \* MERGEFORMAT</w:instrText>
        </w:r>
        <w:r>
          <w:fldChar w:fldCharType="separate"/>
        </w:r>
        <w:r>
          <w:rPr>
            <w:noProof/>
          </w:rPr>
          <w:t>1</w:t>
        </w:r>
        <w:r>
          <w:fldChar w:fldCharType="end"/>
        </w:r>
      </w:p>
    </w:sdtContent>
  </w:sdt>
  <w:p w14:paraId="6F5C785E" w14:textId="77777777" w:rsidR="0046498B" w:rsidRDefault="004649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44F1A" w14:textId="77777777" w:rsidR="00725273" w:rsidRDefault="00725273" w:rsidP="004213C7">
      <w:pPr>
        <w:spacing w:after="0" w:line="240" w:lineRule="auto"/>
      </w:pPr>
      <w:r>
        <w:separator/>
      </w:r>
    </w:p>
  </w:footnote>
  <w:footnote w:type="continuationSeparator" w:id="0">
    <w:p w14:paraId="6BE0F76D" w14:textId="77777777" w:rsidR="00725273" w:rsidRDefault="00725273" w:rsidP="00421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284FB" w14:textId="17CD971A" w:rsidR="00B87C7F" w:rsidRDefault="00B87C7F" w:rsidP="00C1632C">
    <w:pPr>
      <w:jc w:val="center"/>
      <w:rPr>
        <w:rFonts w:ascii="Times New Roman" w:hAnsi="Times New Roman" w:cs="Times New Roman"/>
        <w:b/>
      </w:rPr>
    </w:pPr>
    <w:r>
      <w:rPr>
        <w:rFonts w:ascii="Times New Roman" w:hAnsi="Times New Roman" w:cs="Times New Roman"/>
        <w:b/>
      </w:rPr>
      <w:t>PROTOKÓŁ ROZBIEŻNOŚCI</w:t>
    </w:r>
  </w:p>
  <w:p w14:paraId="061E13F4" w14:textId="48FD9E9E" w:rsidR="0046498B" w:rsidRDefault="00B87C7F" w:rsidP="00C1632C">
    <w:pPr>
      <w:jc w:val="center"/>
      <w:rPr>
        <w:rFonts w:ascii="Times New Roman" w:hAnsi="Times New Roman" w:cs="Times New Roman"/>
        <w:b/>
      </w:rPr>
    </w:pPr>
    <w:r>
      <w:rPr>
        <w:rFonts w:ascii="Times New Roman" w:hAnsi="Times New Roman" w:cs="Times New Roman"/>
        <w:b/>
      </w:rPr>
      <w:t>do projektu ust</w:t>
    </w:r>
    <w:r w:rsidRPr="00535CB9">
      <w:rPr>
        <w:rFonts w:ascii="Times New Roman" w:hAnsi="Times New Roman" w:cs="Times New Roman"/>
        <w:b/>
      </w:rPr>
      <w:t xml:space="preserve">awy o zmianie ustawy o jakości handlowej artykułów rolno-spożywczych </w:t>
    </w:r>
    <w:r>
      <w:rPr>
        <w:rFonts w:ascii="Times New Roman" w:hAnsi="Times New Roman" w:cs="Times New Roman"/>
        <w:b/>
      </w:rPr>
      <w:t>oraz niektórych innych ustaw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D5BCE" w14:textId="77777777" w:rsidR="0046498B" w:rsidRDefault="0046498B" w:rsidP="00D264DD">
    <w:pPr>
      <w:jc w:val="center"/>
      <w:rPr>
        <w:rFonts w:ascii="Times New Roman" w:hAnsi="Times New Roman" w:cs="Times New Roman"/>
        <w:b/>
      </w:rPr>
    </w:pPr>
    <w:r w:rsidRPr="00535CB9">
      <w:rPr>
        <w:rFonts w:ascii="Times New Roman" w:hAnsi="Times New Roman" w:cs="Times New Roman"/>
        <w:b/>
      </w:rPr>
      <w:t>ZESTAWIENIE UWAG ZGŁOSZONYCH W RAMACH UZGODNIEŃ MI</w:t>
    </w:r>
    <w:r>
      <w:rPr>
        <w:rFonts w:ascii="Times New Roman" w:hAnsi="Times New Roman" w:cs="Times New Roman"/>
        <w:b/>
      </w:rPr>
      <w:t>ĘDZYRESORTOWYCH DO PROJEKTU UST</w:t>
    </w:r>
    <w:r w:rsidRPr="00535CB9">
      <w:rPr>
        <w:rFonts w:ascii="Times New Roman" w:hAnsi="Times New Roman" w:cs="Times New Roman"/>
        <w:b/>
      </w:rPr>
      <w:t xml:space="preserve">AWY O ZMIANIE USTAWY O JAKOŚCI HANDLOWEJ ARTYKUŁÓW ROLNO-SPOŻYWCZYCH </w:t>
    </w:r>
    <w:r>
      <w:rPr>
        <w:rFonts w:ascii="Times New Roman" w:hAnsi="Times New Roman" w:cs="Times New Roman"/>
        <w:b/>
      </w:rPr>
      <w:t>ORAZ NIEKTÓRYCH INNYCH USTAW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7FA"/>
    <w:multiLevelType w:val="hybridMultilevel"/>
    <w:tmpl w:val="8C6C7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D4733D"/>
    <w:multiLevelType w:val="hybridMultilevel"/>
    <w:tmpl w:val="DA0EFAE0"/>
    <w:lvl w:ilvl="0" w:tplc="2E6A044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B65FD0"/>
    <w:multiLevelType w:val="hybridMultilevel"/>
    <w:tmpl w:val="5FCA4430"/>
    <w:lvl w:ilvl="0" w:tplc="4F60681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995687"/>
    <w:multiLevelType w:val="hybridMultilevel"/>
    <w:tmpl w:val="A2CCDF48"/>
    <w:lvl w:ilvl="0" w:tplc="1F8CB99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160865"/>
    <w:multiLevelType w:val="hybridMultilevel"/>
    <w:tmpl w:val="5C246CBE"/>
    <w:lvl w:ilvl="0" w:tplc="08E8F576">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297F3494"/>
    <w:multiLevelType w:val="hybridMultilevel"/>
    <w:tmpl w:val="9AF642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851B4A"/>
    <w:multiLevelType w:val="hybridMultilevel"/>
    <w:tmpl w:val="9370A1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931BBB"/>
    <w:multiLevelType w:val="hybridMultilevel"/>
    <w:tmpl w:val="06F43C66"/>
    <w:lvl w:ilvl="0" w:tplc="2E6A0440">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357ADE"/>
    <w:multiLevelType w:val="hybridMultilevel"/>
    <w:tmpl w:val="D6FE7FB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2BB33FE9"/>
    <w:multiLevelType w:val="hybridMultilevel"/>
    <w:tmpl w:val="F9A24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385ED3"/>
    <w:multiLevelType w:val="hybridMultilevel"/>
    <w:tmpl w:val="19485360"/>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34CB05FA"/>
    <w:multiLevelType w:val="hybridMultilevel"/>
    <w:tmpl w:val="FD80B5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61D2963"/>
    <w:multiLevelType w:val="hybridMultilevel"/>
    <w:tmpl w:val="ED9651A8"/>
    <w:lvl w:ilvl="0" w:tplc="FA705822">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66123F"/>
    <w:multiLevelType w:val="hybridMultilevel"/>
    <w:tmpl w:val="52669030"/>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4" w15:restartNumberingAfterBreak="0">
    <w:nsid w:val="46E502B2"/>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E55618"/>
    <w:multiLevelType w:val="hybridMultilevel"/>
    <w:tmpl w:val="B57CC3A6"/>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0076F7F"/>
    <w:multiLevelType w:val="hybridMultilevel"/>
    <w:tmpl w:val="7DF4826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0BE4FC1"/>
    <w:multiLevelType w:val="hybridMultilevel"/>
    <w:tmpl w:val="C06A4BE6"/>
    <w:lvl w:ilvl="0" w:tplc="B1F200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FC33AF"/>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B86585"/>
    <w:multiLevelType w:val="hybridMultilevel"/>
    <w:tmpl w:val="6260842E"/>
    <w:lvl w:ilvl="0" w:tplc="E2D0D6C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6C75D6"/>
    <w:multiLevelType w:val="hybridMultilevel"/>
    <w:tmpl w:val="AB4AD9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C42D66"/>
    <w:multiLevelType w:val="multilevel"/>
    <w:tmpl w:val="3FEC9692"/>
    <w:lvl w:ilvl="0">
      <w:start w:val="1"/>
      <w:numFmt w:val="decimal"/>
      <w:lvlText w:val="%1."/>
      <w:lvlJc w:val="left"/>
      <w:pPr>
        <w:ind w:left="0" w:firstLine="0"/>
      </w:pPr>
      <w:rPr>
        <w:rFonts w:hint="default"/>
      </w:rPr>
    </w:lvl>
    <w:lvl w:ilvl="1">
      <w:start w:val="1"/>
      <w:numFmt w:val="decimal"/>
      <w:lvlText w:val="%2."/>
      <w:lvlJc w:val="left"/>
      <w:pPr>
        <w:ind w:left="-76"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7E4B5A"/>
    <w:multiLevelType w:val="hybridMultilevel"/>
    <w:tmpl w:val="FB12A2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3"/>
  </w:num>
  <w:num w:numId="3">
    <w:abstractNumId w:val="9"/>
  </w:num>
  <w:num w:numId="4">
    <w:abstractNumId w:val="15"/>
  </w:num>
  <w:num w:numId="5">
    <w:abstractNumId w:val="6"/>
  </w:num>
  <w:num w:numId="6">
    <w:abstractNumId w:val="16"/>
  </w:num>
  <w:num w:numId="7">
    <w:abstractNumId w:val="4"/>
  </w:num>
  <w:num w:numId="8">
    <w:abstractNumId w:val="10"/>
  </w:num>
  <w:num w:numId="9">
    <w:abstractNumId w:val="8"/>
  </w:num>
  <w:num w:numId="10">
    <w:abstractNumId w:val="19"/>
  </w:num>
  <w:num w:numId="11">
    <w:abstractNumId w:val="1"/>
  </w:num>
  <w:num w:numId="12">
    <w:abstractNumId w:val="0"/>
  </w:num>
  <w:num w:numId="13">
    <w:abstractNumId w:val="5"/>
  </w:num>
  <w:num w:numId="14">
    <w:abstractNumId w:val="7"/>
  </w:num>
  <w:num w:numId="15">
    <w:abstractNumId w:val="3"/>
  </w:num>
  <w:num w:numId="16">
    <w:abstractNumId w:val="12"/>
  </w:num>
  <w:num w:numId="17">
    <w:abstractNumId w:val="17"/>
  </w:num>
  <w:num w:numId="18">
    <w:abstractNumId w:val="18"/>
  </w:num>
  <w:num w:numId="19">
    <w:abstractNumId w:val="21"/>
  </w:num>
  <w:num w:numId="20">
    <w:abstractNumId w:val="14"/>
  </w:num>
  <w:num w:numId="21">
    <w:abstractNumId w:val="2"/>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bookFoldPrintingSheets w:val="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46"/>
    <w:rsid w:val="00000CDC"/>
    <w:rsid w:val="00004F0D"/>
    <w:rsid w:val="00005C9B"/>
    <w:rsid w:val="00012CD8"/>
    <w:rsid w:val="000138DB"/>
    <w:rsid w:val="00017B9D"/>
    <w:rsid w:val="000246B2"/>
    <w:rsid w:val="00025F2A"/>
    <w:rsid w:val="00033316"/>
    <w:rsid w:val="00033EB6"/>
    <w:rsid w:val="00034095"/>
    <w:rsid w:val="000359B9"/>
    <w:rsid w:val="00037012"/>
    <w:rsid w:val="0004223B"/>
    <w:rsid w:val="000423C9"/>
    <w:rsid w:val="00042581"/>
    <w:rsid w:val="00044DCB"/>
    <w:rsid w:val="00052422"/>
    <w:rsid w:val="000533A8"/>
    <w:rsid w:val="00056CBF"/>
    <w:rsid w:val="00057BFE"/>
    <w:rsid w:val="00061C8F"/>
    <w:rsid w:val="00067D8D"/>
    <w:rsid w:val="00073F96"/>
    <w:rsid w:val="00081765"/>
    <w:rsid w:val="00081D0D"/>
    <w:rsid w:val="000848E9"/>
    <w:rsid w:val="000853DE"/>
    <w:rsid w:val="0009041A"/>
    <w:rsid w:val="000A0A4F"/>
    <w:rsid w:val="000A0A8B"/>
    <w:rsid w:val="000A2264"/>
    <w:rsid w:val="000A3672"/>
    <w:rsid w:val="000A78E6"/>
    <w:rsid w:val="000B32B9"/>
    <w:rsid w:val="000B4EA6"/>
    <w:rsid w:val="000B4FBC"/>
    <w:rsid w:val="000C0211"/>
    <w:rsid w:val="000C05C7"/>
    <w:rsid w:val="000C2EAF"/>
    <w:rsid w:val="000C33DC"/>
    <w:rsid w:val="000D1A52"/>
    <w:rsid w:val="000D2CA7"/>
    <w:rsid w:val="000D3593"/>
    <w:rsid w:val="000D729C"/>
    <w:rsid w:val="000D7698"/>
    <w:rsid w:val="000E067D"/>
    <w:rsid w:val="000E076F"/>
    <w:rsid w:val="000E1E5E"/>
    <w:rsid w:val="000E46E2"/>
    <w:rsid w:val="000E55D8"/>
    <w:rsid w:val="000E722C"/>
    <w:rsid w:val="000E7575"/>
    <w:rsid w:val="000E7968"/>
    <w:rsid w:val="001023ED"/>
    <w:rsid w:val="001103C8"/>
    <w:rsid w:val="00114556"/>
    <w:rsid w:val="001178C1"/>
    <w:rsid w:val="00122B3E"/>
    <w:rsid w:val="0012508C"/>
    <w:rsid w:val="0012521F"/>
    <w:rsid w:val="001333CC"/>
    <w:rsid w:val="00134A37"/>
    <w:rsid w:val="00144922"/>
    <w:rsid w:val="00151B0E"/>
    <w:rsid w:val="00152772"/>
    <w:rsid w:val="001534F0"/>
    <w:rsid w:val="001542C4"/>
    <w:rsid w:val="00154528"/>
    <w:rsid w:val="00160FB7"/>
    <w:rsid w:val="0016534D"/>
    <w:rsid w:val="00170452"/>
    <w:rsid w:val="00170D75"/>
    <w:rsid w:val="00172F50"/>
    <w:rsid w:val="001748BD"/>
    <w:rsid w:val="00174DAD"/>
    <w:rsid w:val="00176720"/>
    <w:rsid w:val="0017681A"/>
    <w:rsid w:val="00181A38"/>
    <w:rsid w:val="001877D6"/>
    <w:rsid w:val="00191674"/>
    <w:rsid w:val="00197EDA"/>
    <w:rsid w:val="001C381F"/>
    <w:rsid w:val="001D10E9"/>
    <w:rsid w:val="001D11C6"/>
    <w:rsid w:val="001D4251"/>
    <w:rsid w:val="001D6764"/>
    <w:rsid w:val="001E2035"/>
    <w:rsid w:val="001E2736"/>
    <w:rsid w:val="001E3C48"/>
    <w:rsid w:val="001E619E"/>
    <w:rsid w:val="001E6302"/>
    <w:rsid w:val="001E6CBB"/>
    <w:rsid w:val="001F2702"/>
    <w:rsid w:val="00202D6F"/>
    <w:rsid w:val="00206E55"/>
    <w:rsid w:val="00216ADF"/>
    <w:rsid w:val="00221067"/>
    <w:rsid w:val="00223ADC"/>
    <w:rsid w:val="002241A9"/>
    <w:rsid w:val="002270D0"/>
    <w:rsid w:val="00227DA5"/>
    <w:rsid w:val="00232115"/>
    <w:rsid w:val="00235AFF"/>
    <w:rsid w:val="00240901"/>
    <w:rsid w:val="002420B9"/>
    <w:rsid w:val="00243843"/>
    <w:rsid w:val="00246090"/>
    <w:rsid w:val="00254A63"/>
    <w:rsid w:val="0026052D"/>
    <w:rsid w:val="00261FA5"/>
    <w:rsid w:val="002631D6"/>
    <w:rsid w:val="00270833"/>
    <w:rsid w:val="00276751"/>
    <w:rsid w:val="00280413"/>
    <w:rsid w:val="00280A76"/>
    <w:rsid w:val="00280C7F"/>
    <w:rsid w:val="00281B98"/>
    <w:rsid w:val="002821F3"/>
    <w:rsid w:val="00291419"/>
    <w:rsid w:val="0029192F"/>
    <w:rsid w:val="00291A13"/>
    <w:rsid w:val="0029389B"/>
    <w:rsid w:val="00296D4D"/>
    <w:rsid w:val="00297435"/>
    <w:rsid w:val="002A02F9"/>
    <w:rsid w:val="002A0577"/>
    <w:rsid w:val="002A1ADE"/>
    <w:rsid w:val="002A492E"/>
    <w:rsid w:val="002A66E6"/>
    <w:rsid w:val="002A6CD4"/>
    <w:rsid w:val="002B2B21"/>
    <w:rsid w:val="002B5016"/>
    <w:rsid w:val="002B50F6"/>
    <w:rsid w:val="002C0A3A"/>
    <w:rsid w:val="002C33F0"/>
    <w:rsid w:val="002C6DB8"/>
    <w:rsid w:val="002D08C0"/>
    <w:rsid w:val="002D10AA"/>
    <w:rsid w:val="002D2296"/>
    <w:rsid w:val="002D3977"/>
    <w:rsid w:val="002D741A"/>
    <w:rsid w:val="002D75CA"/>
    <w:rsid w:val="002E1B55"/>
    <w:rsid w:val="002E599A"/>
    <w:rsid w:val="002F47E0"/>
    <w:rsid w:val="002F5708"/>
    <w:rsid w:val="002F5E17"/>
    <w:rsid w:val="002F6503"/>
    <w:rsid w:val="00304A9D"/>
    <w:rsid w:val="00304BDD"/>
    <w:rsid w:val="0030521B"/>
    <w:rsid w:val="00307A05"/>
    <w:rsid w:val="00313BE5"/>
    <w:rsid w:val="0032221C"/>
    <w:rsid w:val="00322CC3"/>
    <w:rsid w:val="00323318"/>
    <w:rsid w:val="003248A2"/>
    <w:rsid w:val="003312B9"/>
    <w:rsid w:val="003319B7"/>
    <w:rsid w:val="003321B7"/>
    <w:rsid w:val="003324A0"/>
    <w:rsid w:val="00332E60"/>
    <w:rsid w:val="00333F30"/>
    <w:rsid w:val="0033463B"/>
    <w:rsid w:val="00334E7D"/>
    <w:rsid w:val="00335A5C"/>
    <w:rsid w:val="0033779A"/>
    <w:rsid w:val="0034138C"/>
    <w:rsid w:val="003434D4"/>
    <w:rsid w:val="00343669"/>
    <w:rsid w:val="00344363"/>
    <w:rsid w:val="0034541F"/>
    <w:rsid w:val="003466BC"/>
    <w:rsid w:val="00346B64"/>
    <w:rsid w:val="003474D7"/>
    <w:rsid w:val="00351323"/>
    <w:rsid w:val="003517F6"/>
    <w:rsid w:val="003552F5"/>
    <w:rsid w:val="00370D76"/>
    <w:rsid w:val="0037111E"/>
    <w:rsid w:val="00372918"/>
    <w:rsid w:val="00374673"/>
    <w:rsid w:val="00375971"/>
    <w:rsid w:val="00384C7C"/>
    <w:rsid w:val="00390595"/>
    <w:rsid w:val="003A0805"/>
    <w:rsid w:val="003A18A1"/>
    <w:rsid w:val="003A1D29"/>
    <w:rsid w:val="003A53F3"/>
    <w:rsid w:val="003A5B7B"/>
    <w:rsid w:val="003A79C4"/>
    <w:rsid w:val="003C0A6E"/>
    <w:rsid w:val="003C3077"/>
    <w:rsid w:val="003C328D"/>
    <w:rsid w:val="003C55E6"/>
    <w:rsid w:val="003C6399"/>
    <w:rsid w:val="003C7432"/>
    <w:rsid w:val="003D3002"/>
    <w:rsid w:val="003D35E8"/>
    <w:rsid w:val="003D402B"/>
    <w:rsid w:val="003D43FA"/>
    <w:rsid w:val="003D4789"/>
    <w:rsid w:val="003D53EF"/>
    <w:rsid w:val="003E270B"/>
    <w:rsid w:val="003E3CE5"/>
    <w:rsid w:val="003E5B53"/>
    <w:rsid w:val="003E70B9"/>
    <w:rsid w:val="003F2BD8"/>
    <w:rsid w:val="003F4A5B"/>
    <w:rsid w:val="003F4D73"/>
    <w:rsid w:val="00400256"/>
    <w:rsid w:val="00401A08"/>
    <w:rsid w:val="00405B10"/>
    <w:rsid w:val="00412B0C"/>
    <w:rsid w:val="00420748"/>
    <w:rsid w:val="004213C7"/>
    <w:rsid w:val="00421E67"/>
    <w:rsid w:val="004225D3"/>
    <w:rsid w:val="00422995"/>
    <w:rsid w:val="00432FBA"/>
    <w:rsid w:val="004342B1"/>
    <w:rsid w:val="00434520"/>
    <w:rsid w:val="00437B3A"/>
    <w:rsid w:val="00437F88"/>
    <w:rsid w:val="00441781"/>
    <w:rsid w:val="00442FBD"/>
    <w:rsid w:val="00443659"/>
    <w:rsid w:val="00452F26"/>
    <w:rsid w:val="00454C88"/>
    <w:rsid w:val="00455FE0"/>
    <w:rsid w:val="004574B0"/>
    <w:rsid w:val="00457683"/>
    <w:rsid w:val="00457DAF"/>
    <w:rsid w:val="004639C3"/>
    <w:rsid w:val="00464067"/>
    <w:rsid w:val="0046498B"/>
    <w:rsid w:val="00466BBF"/>
    <w:rsid w:val="00475491"/>
    <w:rsid w:val="004760D2"/>
    <w:rsid w:val="004763E0"/>
    <w:rsid w:val="0047650F"/>
    <w:rsid w:val="00477C29"/>
    <w:rsid w:val="00481DDA"/>
    <w:rsid w:val="0049211F"/>
    <w:rsid w:val="00492233"/>
    <w:rsid w:val="0049571B"/>
    <w:rsid w:val="004A19E3"/>
    <w:rsid w:val="004A3CDB"/>
    <w:rsid w:val="004A5240"/>
    <w:rsid w:val="004A7647"/>
    <w:rsid w:val="004B0122"/>
    <w:rsid w:val="004B189F"/>
    <w:rsid w:val="004B53D2"/>
    <w:rsid w:val="004B609B"/>
    <w:rsid w:val="004B6D7E"/>
    <w:rsid w:val="004C143A"/>
    <w:rsid w:val="004C2FC7"/>
    <w:rsid w:val="004C46D7"/>
    <w:rsid w:val="004C5DB5"/>
    <w:rsid w:val="004D06E7"/>
    <w:rsid w:val="004D0EE3"/>
    <w:rsid w:val="004D0F61"/>
    <w:rsid w:val="004D1DC1"/>
    <w:rsid w:val="004D2C5D"/>
    <w:rsid w:val="004D3623"/>
    <w:rsid w:val="004E1898"/>
    <w:rsid w:val="004E692B"/>
    <w:rsid w:val="004E6B91"/>
    <w:rsid w:val="004F0A46"/>
    <w:rsid w:val="004F248B"/>
    <w:rsid w:val="004F6EAD"/>
    <w:rsid w:val="005006BC"/>
    <w:rsid w:val="00500ADC"/>
    <w:rsid w:val="00502519"/>
    <w:rsid w:val="005054F2"/>
    <w:rsid w:val="00506A11"/>
    <w:rsid w:val="00511283"/>
    <w:rsid w:val="00516AA2"/>
    <w:rsid w:val="005174DF"/>
    <w:rsid w:val="00520A0C"/>
    <w:rsid w:val="00521270"/>
    <w:rsid w:val="005261C4"/>
    <w:rsid w:val="005330AA"/>
    <w:rsid w:val="00535CB9"/>
    <w:rsid w:val="005360E9"/>
    <w:rsid w:val="00536953"/>
    <w:rsid w:val="00541086"/>
    <w:rsid w:val="00541330"/>
    <w:rsid w:val="00543B64"/>
    <w:rsid w:val="0054450C"/>
    <w:rsid w:val="00544EC4"/>
    <w:rsid w:val="005466A3"/>
    <w:rsid w:val="00547E44"/>
    <w:rsid w:val="00551111"/>
    <w:rsid w:val="00556757"/>
    <w:rsid w:val="00565F2B"/>
    <w:rsid w:val="00566892"/>
    <w:rsid w:val="005671D5"/>
    <w:rsid w:val="005717D5"/>
    <w:rsid w:val="0057198A"/>
    <w:rsid w:val="00584383"/>
    <w:rsid w:val="0058512A"/>
    <w:rsid w:val="005868A3"/>
    <w:rsid w:val="00587180"/>
    <w:rsid w:val="0059206B"/>
    <w:rsid w:val="00592486"/>
    <w:rsid w:val="00592802"/>
    <w:rsid w:val="00593BBB"/>
    <w:rsid w:val="00593F6A"/>
    <w:rsid w:val="00596795"/>
    <w:rsid w:val="00596C9D"/>
    <w:rsid w:val="005A12FF"/>
    <w:rsid w:val="005C6A34"/>
    <w:rsid w:val="005D1320"/>
    <w:rsid w:val="005D4468"/>
    <w:rsid w:val="005D61DC"/>
    <w:rsid w:val="005D663B"/>
    <w:rsid w:val="005E1E41"/>
    <w:rsid w:val="005E4D0B"/>
    <w:rsid w:val="005E6BF1"/>
    <w:rsid w:val="005E7FF0"/>
    <w:rsid w:val="005F64D8"/>
    <w:rsid w:val="006013FD"/>
    <w:rsid w:val="00602716"/>
    <w:rsid w:val="00605A4C"/>
    <w:rsid w:val="00605D70"/>
    <w:rsid w:val="00605F51"/>
    <w:rsid w:val="00606CA8"/>
    <w:rsid w:val="006071E6"/>
    <w:rsid w:val="00613574"/>
    <w:rsid w:val="006138CC"/>
    <w:rsid w:val="006143F6"/>
    <w:rsid w:val="00614F8B"/>
    <w:rsid w:val="00615DC5"/>
    <w:rsid w:val="006162D0"/>
    <w:rsid w:val="00617602"/>
    <w:rsid w:val="00620CF5"/>
    <w:rsid w:val="00621C62"/>
    <w:rsid w:val="0062387C"/>
    <w:rsid w:val="00626240"/>
    <w:rsid w:val="006272D1"/>
    <w:rsid w:val="00627C54"/>
    <w:rsid w:val="006308D5"/>
    <w:rsid w:val="00633845"/>
    <w:rsid w:val="00633B1F"/>
    <w:rsid w:val="006347F2"/>
    <w:rsid w:val="00642C16"/>
    <w:rsid w:val="00643BC6"/>
    <w:rsid w:val="0064420A"/>
    <w:rsid w:val="006468CB"/>
    <w:rsid w:val="00655FC3"/>
    <w:rsid w:val="006569C4"/>
    <w:rsid w:val="00656F30"/>
    <w:rsid w:val="006570B9"/>
    <w:rsid w:val="0065711D"/>
    <w:rsid w:val="006614C0"/>
    <w:rsid w:val="0066361D"/>
    <w:rsid w:val="006639C2"/>
    <w:rsid w:val="00663FE0"/>
    <w:rsid w:val="00671A17"/>
    <w:rsid w:val="006735E7"/>
    <w:rsid w:val="006760FE"/>
    <w:rsid w:val="00680AE1"/>
    <w:rsid w:val="00683209"/>
    <w:rsid w:val="0069006D"/>
    <w:rsid w:val="0069196A"/>
    <w:rsid w:val="00693FC7"/>
    <w:rsid w:val="0069446C"/>
    <w:rsid w:val="0069699D"/>
    <w:rsid w:val="006A4ED1"/>
    <w:rsid w:val="006B0E6C"/>
    <w:rsid w:val="006C02A4"/>
    <w:rsid w:val="006C3EB7"/>
    <w:rsid w:val="006C3F4B"/>
    <w:rsid w:val="006C54B1"/>
    <w:rsid w:val="006C74C9"/>
    <w:rsid w:val="006C7577"/>
    <w:rsid w:val="006D0FAA"/>
    <w:rsid w:val="006D3B31"/>
    <w:rsid w:val="006D76B2"/>
    <w:rsid w:val="006E2398"/>
    <w:rsid w:val="006E255C"/>
    <w:rsid w:val="006E2725"/>
    <w:rsid w:val="006E58AF"/>
    <w:rsid w:val="006E5E23"/>
    <w:rsid w:val="006E79EF"/>
    <w:rsid w:val="006F06D3"/>
    <w:rsid w:val="006F5931"/>
    <w:rsid w:val="007003CB"/>
    <w:rsid w:val="007020BA"/>
    <w:rsid w:val="007028C6"/>
    <w:rsid w:val="00702E06"/>
    <w:rsid w:val="007032EF"/>
    <w:rsid w:val="007042A6"/>
    <w:rsid w:val="00707F1A"/>
    <w:rsid w:val="00720C99"/>
    <w:rsid w:val="0072217D"/>
    <w:rsid w:val="00722FFC"/>
    <w:rsid w:val="007231DF"/>
    <w:rsid w:val="00725273"/>
    <w:rsid w:val="00734799"/>
    <w:rsid w:val="00736139"/>
    <w:rsid w:val="007374A7"/>
    <w:rsid w:val="00742327"/>
    <w:rsid w:val="00744AED"/>
    <w:rsid w:val="0074604A"/>
    <w:rsid w:val="007534EA"/>
    <w:rsid w:val="00753F01"/>
    <w:rsid w:val="0075592C"/>
    <w:rsid w:val="00757740"/>
    <w:rsid w:val="00761166"/>
    <w:rsid w:val="00761177"/>
    <w:rsid w:val="00761271"/>
    <w:rsid w:val="00765E75"/>
    <w:rsid w:val="00771ACA"/>
    <w:rsid w:val="00772C00"/>
    <w:rsid w:val="007756E3"/>
    <w:rsid w:val="00776127"/>
    <w:rsid w:val="00776F67"/>
    <w:rsid w:val="0078103A"/>
    <w:rsid w:val="00783ABC"/>
    <w:rsid w:val="007866AE"/>
    <w:rsid w:val="007905E1"/>
    <w:rsid w:val="00790E86"/>
    <w:rsid w:val="00790F60"/>
    <w:rsid w:val="00793650"/>
    <w:rsid w:val="007938BB"/>
    <w:rsid w:val="00793E33"/>
    <w:rsid w:val="007A364E"/>
    <w:rsid w:val="007A576C"/>
    <w:rsid w:val="007B22C1"/>
    <w:rsid w:val="007B5F67"/>
    <w:rsid w:val="007C033B"/>
    <w:rsid w:val="007C0C7D"/>
    <w:rsid w:val="007C2754"/>
    <w:rsid w:val="007C3DC9"/>
    <w:rsid w:val="007C49C9"/>
    <w:rsid w:val="007C72AA"/>
    <w:rsid w:val="007C7E42"/>
    <w:rsid w:val="007D5C3B"/>
    <w:rsid w:val="007E4112"/>
    <w:rsid w:val="007E4B9E"/>
    <w:rsid w:val="007E6615"/>
    <w:rsid w:val="007F3E0F"/>
    <w:rsid w:val="007F7F3D"/>
    <w:rsid w:val="008000A5"/>
    <w:rsid w:val="00812A29"/>
    <w:rsid w:val="00815279"/>
    <w:rsid w:val="008164F7"/>
    <w:rsid w:val="00820976"/>
    <w:rsid w:val="0082137B"/>
    <w:rsid w:val="0082601B"/>
    <w:rsid w:val="00834A93"/>
    <w:rsid w:val="00836ECD"/>
    <w:rsid w:val="0084039C"/>
    <w:rsid w:val="0084115B"/>
    <w:rsid w:val="008450A3"/>
    <w:rsid w:val="0084624F"/>
    <w:rsid w:val="00852F3A"/>
    <w:rsid w:val="00854621"/>
    <w:rsid w:val="00857839"/>
    <w:rsid w:val="00864556"/>
    <w:rsid w:val="00864A02"/>
    <w:rsid w:val="00865D14"/>
    <w:rsid w:val="00867B46"/>
    <w:rsid w:val="00870900"/>
    <w:rsid w:val="008729B2"/>
    <w:rsid w:val="00872A3B"/>
    <w:rsid w:val="008753E6"/>
    <w:rsid w:val="00876596"/>
    <w:rsid w:val="00882565"/>
    <w:rsid w:val="00882D97"/>
    <w:rsid w:val="008856BD"/>
    <w:rsid w:val="00891357"/>
    <w:rsid w:val="00892677"/>
    <w:rsid w:val="00893EAF"/>
    <w:rsid w:val="00897F43"/>
    <w:rsid w:val="008B1C7F"/>
    <w:rsid w:val="008B3062"/>
    <w:rsid w:val="008B3204"/>
    <w:rsid w:val="008B33AF"/>
    <w:rsid w:val="008B7693"/>
    <w:rsid w:val="008B7CE3"/>
    <w:rsid w:val="008C40F4"/>
    <w:rsid w:val="008C5DB3"/>
    <w:rsid w:val="008D251B"/>
    <w:rsid w:val="008D5138"/>
    <w:rsid w:val="008D66C7"/>
    <w:rsid w:val="008D685D"/>
    <w:rsid w:val="008E3166"/>
    <w:rsid w:val="008E57E8"/>
    <w:rsid w:val="008E616D"/>
    <w:rsid w:val="008E7B5D"/>
    <w:rsid w:val="008F4A7D"/>
    <w:rsid w:val="00901619"/>
    <w:rsid w:val="00904265"/>
    <w:rsid w:val="00916085"/>
    <w:rsid w:val="00916731"/>
    <w:rsid w:val="00916C1F"/>
    <w:rsid w:val="00921431"/>
    <w:rsid w:val="00922D4A"/>
    <w:rsid w:val="00923E89"/>
    <w:rsid w:val="00923EA2"/>
    <w:rsid w:val="00926453"/>
    <w:rsid w:val="009279D8"/>
    <w:rsid w:val="009307F3"/>
    <w:rsid w:val="009316AB"/>
    <w:rsid w:val="00931FF3"/>
    <w:rsid w:val="009330D9"/>
    <w:rsid w:val="00934EDA"/>
    <w:rsid w:val="0093573C"/>
    <w:rsid w:val="0094085F"/>
    <w:rsid w:val="00941423"/>
    <w:rsid w:val="00942BD2"/>
    <w:rsid w:val="00943419"/>
    <w:rsid w:val="0094513C"/>
    <w:rsid w:val="0094797D"/>
    <w:rsid w:val="009500BD"/>
    <w:rsid w:val="009505BF"/>
    <w:rsid w:val="00952490"/>
    <w:rsid w:val="00952CE0"/>
    <w:rsid w:val="009556BB"/>
    <w:rsid w:val="0095698B"/>
    <w:rsid w:val="00956AEF"/>
    <w:rsid w:val="00956D98"/>
    <w:rsid w:val="00962DB2"/>
    <w:rsid w:val="009652E0"/>
    <w:rsid w:val="00966A9E"/>
    <w:rsid w:val="0096739F"/>
    <w:rsid w:val="009727E9"/>
    <w:rsid w:val="00975C17"/>
    <w:rsid w:val="0098511A"/>
    <w:rsid w:val="00986A33"/>
    <w:rsid w:val="00987998"/>
    <w:rsid w:val="00992237"/>
    <w:rsid w:val="0099569D"/>
    <w:rsid w:val="0099571F"/>
    <w:rsid w:val="00996FC6"/>
    <w:rsid w:val="009A2C02"/>
    <w:rsid w:val="009A354B"/>
    <w:rsid w:val="009A4C57"/>
    <w:rsid w:val="009A5F0F"/>
    <w:rsid w:val="009B4295"/>
    <w:rsid w:val="009B5427"/>
    <w:rsid w:val="009B60A8"/>
    <w:rsid w:val="009B677D"/>
    <w:rsid w:val="009B7177"/>
    <w:rsid w:val="009C1703"/>
    <w:rsid w:val="009C18F3"/>
    <w:rsid w:val="009C2CE6"/>
    <w:rsid w:val="009C3B7D"/>
    <w:rsid w:val="009C42B0"/>
    <w:rsid w:val="009C57F9"/>
    <w:rsid w:val="009C6025"/>
    <w:rsid w:val="009D2134"/>
    <w:rsid w:val="009D7833"/>
    <w:rsid w:val="009E4DEA"/>
    <w:rsid w:val="00A009A4"/>
    <w:rsid w:val="00A01F38"/>
    <w:rsid w:val="00A02458"/>
    <w:rsid w:val="00A103E6"/>
    <w:rsid w:val="00A11116"/>
    <w:rsid w:val="00A12914"/>
    <w:rsid w:val="00A139BC"/>
    <w:rsid w:val="00A142AA"/>
    <w:rsid w:val="00A1686B"/>
    <w:rsid w:val="00A171D5"/>
    <w:rsid w:val="00A17DA8"/>
    <w:rsid w:val="00A25EF9"/>
    <w:rsid w:val="00A365F9"/>
    <w:rsid w:val="00A426AA"/>
    <w:rsid w:val="00A42B8E"/>
    <w:rsid w:val="00A4465E"/>
    <w:rsid w:val="00A46A0C"/>
    <w:rsid w:val="00A50304"/>
    <w:rsid w:val="00A503E8"/>
    <w:rsid w:val="00A53AD8"/>
    <w:rsid w:val="00A553C6"/>
    <w:rsid w:val="00A56599"/>
    <w:rsid w:val="00A566D6"/>
    <w:rsid w:val="00A57647"/>
    <w:rsid w:val="00A60C77"/>
    <w:rsid w:val="00A71BD3"/>
    <w:rsid w:val="00A736A2"/>
    <w:rsid w:val="00A75658"/>
    <w:rsid w:val="00A84BDC"/>
    <w:rsid w:val="00A902D4"/>
    <w:rsid w:val="00A945AA"/>
    <w:rsid w:val="00AA0BF3"/>
    <w:rsid w:val="00AA6B2F"/>
    <w:rsid w:val="00AA7E4A"/>
    <w:rsid w:val="00AB203A"/>
    <w:rsid w:val="00AC052A"/>
    <w:rsid w:val="00AC2998"/>
    <w:rsid w:val="00AC36E0"/>
    <w:rsid w:val="00AC3AD5"/>
    <w:rsid w:val="00AC6308"/>
    <w:rsid w:val="00AC76A9"/>
    <w:rsid w:val="00AC7D13"/>
    <w:rsid w:val="00AC7F8E"/>
    <w:rsid w:val="00AD1355"/>
    <w:rsid w:val="00AD2913"/>
    <w:rsid w:val="00AD3996"/>
    <w:rsid w:val="00AD7AA5"/>
    <w:rsid w:val="00AD7CB7"/>
    <w:rsid w:val="00AE1164"/>
    <w:rsid w:val="00AE18A1"/>
    <w:rsid w:val="00AE2A61"/>
    <w:rsid w:val="00AE606E"/>
    <w:rsid w:val="00AF2FD1"/>
    <w:rsid w:val="00B0252B"/>
    <w:rsid w:val="00B03ACB"/>
    <w:rsid w:val="00B06B32"/>
    <w:rsid w:val="00B12576"/>
    <w:rsid w:val="00B131BF"/>
    <w:rsid w:val="00B16F00"/>
    <w:rsid w:val="00B200E8"/>
    <w:rsid w:val="00B20A5A"/>
    <w:rsid w:val="00B21CD8"/>
    <w:rsid w:val="00B23578"/>
    <w:rsid w:val="00B253D1"/>
    <w:rsid w:val="00B261BD"/>
    <w:rsid w:val="00B2654C"/>
    <w:rsid w:val="00B3026A"/>
    <w:rsid w:val="00B35BB9"/>
    <w:rsid w:val="00B46827"/>
    <w:rsid w:val="00B477DF"/>
    <w:rsid w:val="00B52D1F"/>
    <w:rsid w:val="00B5348F"/>
    <w:rsid w:val="00B550C9"/>
    <w:rsid w:val="00B61BB4"/>
    <w:rsid w:val="00B62A9A"/>
    <w:rsid w:val="00B63912"/>
    <w:rsid w:val="00B639D5"/>
    <w:rsid w:val="00B6406B"/>
    <w:rsid w:val="00B66233"/>
    <w:rsid w:val="00B71A4F"/>
    <w:rsid w:val="00B73435"/>
    <w:rsid w:val="00B808D3"/>
    <w:rsid w:val="00B83678"/>
    <w:rsid w:val="00B843DC"/>
    <w:rsid w:val="00B86A44"/>
    <w:rsid w:val="00B87C7F"/>
    <w:rsid w:val="00B90D81"/>
    <w:rsid w:val="00B927A6"/>
    <w:rsid w:val="00B93968"/>
    <w:rsid w:val="00BA192D"/>
    <w:rsid w:val="00BA592C"/>
    <w:rsid w:val="00BA68C2"/>
    <w:rsid w:val="00BA7EDC"/>
    <w:rsid w:val="00BB0387"/>
    <w:rsid w:val="00BB1F36"/>
    <w:rsid w:val="00BB3B3C"/>
    <w:rsid w:val="00BB536B"/>
    <w:rsid w:val="00BB7B09"/>
    <w:rsid w:val="00BB7F0B"/>
    <w:rsid w:val="00BC3328"/>
    <w:rsid w:val="00BC3519"/>
    <w:rsid w:val="00BC5646"/>
    <w:rsid w:val="00BC68A7"/>
    <w:rsid w:val="00BC6A7D"/>
    <w:rsid w:val="00BC7E94"/>
    <w:rsid w:val="00BD5292"/>
    <w:rsid w:val="00BD5D12"/>
    <w:rsid w:val="00BE0BF4"/>
    <w:rsid w:val="00BE791F"/>
    <w:rsid w:val="00BF1353"/>
    <w:rsid w:val="00BF5C02"/>
    <w:rsid w:val="00BF6FF8"/>
    <w:rsid w:val="00BF70AE"/>
    <w:rsid w:val="00BF73A2"/>
    <w:rsid w:val="00C02D98"/>
    <w:rsid w:val="00C03CD8"/>
    <w:rsid w:val="00C05C6C"/>
    <w:rsid w:val="00C07CE2"/>
    <w:rsid w:val="00C116D3"/>
    <w:rsid w:val="00C13E24"/>
    <w:rsid w:val="00C14C18"/>
    <w:rsid w:val="00C1632C"/>
    <w:rsid w:val="00C16DBD"/>
    <w:rsid w:val="00C323A8"/>
    <w:rsid w:val="00C3285F"/>
    <w:rsid w:val="00C357FA"/>
    <w:rsid w:val="00C42081"/>
    <w:rsid w:val="00C4278D"/>
    <w:rsid w:val="00C43BB4"/>
    <w:rsid w:val="00C468A3"/>
    <w:rsid w:val="00C53005"/>
    <w:rsid w:val="00C6125E"/>
    <w:rsid w:val="00C63E76"/>
    <w:rsid w:val="00C666C9"/>
    <w:rsid w:val="00C66918"/>
    <w:rsid w:val="00C66AFF"/>
    <w:rsid w:val="00C7008C"/>
    <w:rsid w:val="00C70524"/>
    <w:rsid w:val="00C726DF"/>
    <w:rsid w:val="00C72B14"/>
    <w:rsid w:val="00C8032F"/>
    <w:rsid w:val="00C80B2B"/>
    <w:rsid w:val="00C81452"/>
    <w:rsid w:val="00C852A5"/>
    <w:rsid w:val="00C86AC5"/>
    <w:rsid w:val="00C90172"/>
    <w:rsid w:val="00C92DCF"/>
    <w:rsid w:val="00C9520F"/>
    <w:rsid w:val="00C95B67"/>
    <w:rsid w:val="00C970E8"/>
    <w:rsid w:val="00CA0817"/>
    <w:rsid w:val="00CA4503"/>
    <w:rsid w:val="00CB7EBC"/>
    <w:rsid w:val="00CC5016"/>
    <w:rsid w:val="00CC5A31"/>
    <w:rsid w:val="00CD3ACD"/>
    <w:rsid w:val="00CD5C60"/>
    <w:rsid w:val="00CD5C61"/>
    <w:rsid w:val="00CD669F"/>
    <w:rsid w:val="00CE5FB9"/>
    <w:rsid w:val="00CE6AC6"/>
    <w:rsid w:val="00CF4C4F"/>
    <w:rsid w:val="00CF639D"/>
    <w:rsid w:val="00D04C01"/>
    <w:rsid w:val="00D06A99"/>
    <w:rsid w:val="00D13C1E"/>
    <w:rsid w:val="00D14A19"/>
    <w:rsid w:val="00D215E7"/>
    <w:rsid w:val="00D2216D"/>
    <w:rsid w:val="00D22267"/>
    <w:rsid w:val="00D24F54"/>
    <w:rsid w:val="00D264DD"/>
    <w:rsid w:val="00D327C6"/>
    <w:rsid w:val="00D3421A"/>
    <w:rsid w:val="00D34450"/>
    <w:rsid w:val="00D36250"/>
    <w:rsid w:val="00D36B45"/>
    <w:rsid w:val="00D37AE8"/>
    <w:rsid w:val="00D37B04"/>
    <w:rsid w:val="00D37D65"/>
    <w:rsid w:val="00D40183"/>
    <w:rsid w:val="00D45205"/>
    <w:rsid w:val="00D5292C"/>
    <w:rsid w:val="00D5306F"/>
    <w:rsid w:val="00D53F0E"/>
    <w:rsid w:val="00D5686C"/>
    <w:rsid w:val="00D61512"/>
    <w:rsid w:val="00D63E2F"/>
    <w:rsid w:val="00D66350"/>
    <w:rsid w:val="00D74626"/>
    <w:rsid w:val="00D86638"/>
    <w:rsid w:val="00D933C7"/>
    <w:rsid w:val="00D936E4"/>
    <w:rsid w:val="00D9395B"/>
    <w:rsid w:val="00DA043F"/>
    <w:rsid w:val="00DA2046"/>
    <w:rsid w:val="00DA5B9A"/>
    <w:rsid w:val="00DA66E6"/>
    <w:rsid w:val="00DB1855"/>
    <w:rsid w:val="00DB699A"/>
    <w:rsid w:val="00DC24F5"/>
    <w:rsid w:val="00DC2C49"/>
    <w:rsid w:val="00DD2861"/>
    <w:rsid w:val="00DD3F24"/>
    <w:rsid w:val="00DD519D"/>
    <w:rsid w:val="00DE26E1"/>
    <w:rsid w:val="00DE7ADB"/>
    <w:rsid w:val="00DF0A14"/>
    <w:rsid w:val="00DF1213"/>
    <w:rsid w:val="00DF1C52"/>
    <w:rsid w:val="00DF279E"/>
    <w:rsid w:val="00E00867"/>
    <w:rsid w:val="00E00F7C"/>
    <w:rsid w:val="00E054F8"/>
    <w:rsid w:val="00E069E9"/>
    <w:rsid w:val="00E0703B"/>
    <w:rsid w:val="00E14147"/>
    <w:rsid w:val="00E15E0A"/>
    <w:rsid w:val="00E20D07"/>
    <w:rsid w:val="00E2109F"/>
    <w:rsid w:val="00E212FF"/>
    <w:rsid w:val="00E214DA"/>
    <w:rsid w:val="00E225A8"/>
    <w:rsid w:val="00E231A2"/>
    <w:rsid w:val="00E234E0"/>
    <w:rsid w:val="00E236B7"/>
    <w:rsid w:val="00E27326"/>
    <w:rsid w:val="00E300B5"/>
    <w:rsid w:val="00E3249F"/>
    <w:rsid w:val="00E32A7B"/>
    <w:rsid w:val="00E35DD4"/>
    <w:rsid w:val="00E36B6B"/>
    <w:rsid w:val="00E41CF5"/>
    <w:rsid w:val="00E44896"/>
    <w:rsid w:val="00E448F9"/>
    <w:rsid w:val="00E52919"/>
    <w:rsid w:val="00E55687"/>
    <w:rsid w:val="00E621AF"/>
    <w:rsid w:val="00E7075F"/>
    <w:rsid w:val="00E74195"/>
    <w:rsid w:val="00E84D2C"/>
    <w:rsid w:val="00E87047"/>
    <w:rsid w:val="00E90EC8"/>
    <w:rsid w:val="00E92E8C"/>
    <w:rsid w:val="00E93A49"/>
    <w:rsid w:val="00E96CC1"/>
    <w:rsid w:val="00EA3440"/>
    <w:rsid w:val="00EA43FB"/>
    <w:rsid w:val="00EA535E"/>
    <w:rsid w:val="00EA77C1"/>
    <w:rsid w:val="00EB415E"/>
    <w:rsid w:val="00EC0E39"/>
    <w:rsid w:val="00EC0F8F"/>
    <w:rsid w:val="00EC1193"/>
    <w:rsid w:val="00EC3B78"/>
    <w:rsid w:val="00ED3508"/>
    <w:rsid w:val="00ED4DE3"/>
    <w:rsid w:val="00EE62BE"/>
    <w:rsid w:val="00EE6858"/>
    <w:rsid w:val="00EF0241"/>
    <w:rsid w:val="00EF1207"/>
    <w:rsid w:val="00EF19D1"/>
    <w:rsid w:val="00EF3438"/>
    <w:rsid w:val="00EF5F22"/>
    <w:rsid w:val="00EF7422"/>
    <w:rsid w:val="00F00601"/>
    <w:rsid w:val="00F00A67"/>
    <w:rsid w:val="00F0214D"/>
    <w:rsid w:val="00F054F6"/>
    <w:rsid w:val="00F0690F"/>
    <w:rsid w:val="00F13A02"/>
    <w:rsid w:val="00F147B5"/>
    <w:rsid w:val="00F147B7"/>
    <w:rsid w:val="00F14A17"/>
    <w:rsid w:val="00F21ED6"/>
    <w:rsid w:val="00F25321"/>
    <w:rsid w:val="00F25A98"/>
    <w:rsid w:val="00F27A67"/>
    <w:rsid w:val="00F30584"/>
    <w:rsid w:val="00F37728"/>
    <w:rsid w:val="00F47243"/>
    <w:rsid w:val="00F5014A"/>
    <w:rsid w:val="00F501B3"/>
    <w:rsid w:val="00F50BE2"/>
    <w:rsid w:val="00F50E2F"/>
    <w:rsid w:val="00F51495"/>
    <w:rsid w:val="00F523A8"/>
    <w:rsid w:val="00F53C69"/>
    <w:rsid w:val="00F55BC2"/>
    <w:rsid w:val="00F562CF"/>
    <w:rsid w:val="00F6077B"/>
    <w:rsid w:val="00F6077F"/>
    <w:rsid w:val="00F615CE"/>
    <w:rsid w:val="00F63B5F"/>
    <w:rsid w:val="00F647E3"/>
    <w:rsid w:val="00F6580B"/>
    <w:rsid w:val="00F72F36"/>
    <w:rsid w:val="00F72F87"/>
    <w:rsid w:val="00F749DA"/>
    <w:rsid w:val="00F7641E"/>
    <w:rsid w:val="00F767D2"/>
    <w:rsid w:val="00F848A6"/>
    <w:rsid w:val="00F8702B"/>
    <w:rsid w:val="00F95532"/>
    <w:rsid w:val="00FA09BB"/>
    <w:rsid w:val="00FA0DEC"/>
    <w:rsid w:val="00FA1BD6"/>
    <w:rsid w:val="00FA4779"/>
    <w:rsid w:val="00FB35CD"/>
    <w:rsid w:val="00FB42DD"/>
    <w:rsid w:val="00FB53ED"/>
    <w:rsid w:val="00FB6D24"/>
    <w:rsid w:val="00FC0D57"/>
    <w:rsid w:val="00FC31DC"/>
    <w:rsid w:val="00FC3944"/>
    <w:rsid w:val="00FC5108"/>
    <w:rsid w:val="00FC5E48"/>
    <w:rsid w:val="00FC71F8"/>
    <w:rsid w:val="00FD5928"/>
    <w:rsid w:val="00FE3793"/>
    <w:rsid w:val="00FE3E51"/>
    <w:rsid w:val="00FE3ECC"/>
    <w:rsid w:val="00FE5646"/>
    <w:rsid w:val="00FE5A03"/>
    <w:rsid w:val="00FF1A3B"/>
    <w:rsid w:val="00FF21E6"/>
    <w:rsid w:val="00FF32E5"/>
    <w:rsid w:val="00FF698F"/>
    <w:rsid w:val="00FF7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B2B2F"/>
  <w15:docId w15:val="{E503EBCB-A92F-4F0E-B675-399C7AC8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7B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EARTTEKSTtekstnieartykuowanynppodstprawnarozplubpreambua">
    <w:name w:val="NIEART_TEKST – tekst nieartykułowany (np. podst. prawna rozp. lub preambuła)"/>
    <w:basedOn w:val="Normalny"/>
    <w:next w:val="Normalny"/>
    <w:uiPriority w:val="99"/>
    <w:qFormat/>
    <w:rsid w:val="00202D6F"/>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paragraph" w:styleId="Nagwek">
    <w:name w:val="header"/>
    <w:basedOn w:val="Normalny"/>
    <w:link w:val="NagwekZnak"/>
    <w:uiPriority w:val="99"/>
    <w:unhideWhenUsed/>
    <w:rsid w:val="004213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13C7"/>
  </w:style>
  <w:style w:type="paragraph" w:styleId="Stopka">
    <w:name w:val="footer"/>
    <w:basedOn w:val="Normalny"/>
    <w:link w:val="StopkaZnak"/>
    <w:uiPriority w:val="99"/>
    <w:unhideWhenUsed/>
    <w:rsid w:val="004213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13C7"/>
  </w:style>
  <w:style w:type="paragraph" w:styleId="Tekstdymka">
    <w:name w:val="Balloon Text"/>
    <w:basedOn w:val="Normalny"/>
    <w:link w:val="TekstdymkaZnak"/>
    <w:uiPriority w:val="99"/>
    <w:semiHidden/>
    <w:unhideWhenUsed/>
    <w:rsid w:val="002914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1419"/>
    <w:rPr>
      <w:rFonts w:ascii="Tahoma" w:hAnsi="Tahoma" w:cs="Tahoma"/>
      <w:sz w:val="16"/>
      <w:szCs w:val="16"/>
    </w:rPr>
  </w:style>
  <w:style w:type="paragraph" w:styleId="Akapitzlist">
    <w:name w:val="List Paragraph"/>
    <w:basedOn w:val="Normalny"/>
    <w:uiPriority w:val="34"/>
    <w:qFormat/>
    <w:rsid w:val="00E3249F"/>
    <w:pPr>
      <w:ind w:left="720"/>
      <w:contextualSpacing/>
    </w:pPr>
  </w:style>
  <w:style w:type="paragraph" w:customStyle="1" w:styleId="Default">
    <w:name w:val="Default"/>
    <w:rsid w:val="005E7FF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C3285F"/>
    <w:rPr>
      <w:sz w:val="16"/>
      <w:szCs w:val="16"/>
    </w:rPr>
  </w:style>
  <w:style w:type="paragraph" w:styleId="Tekstkomentarza">
    <w:name w:val="annotation text"/>
    <w:basedOn w:val="Normalny"/>
    <w:link w:val="TekstkomentarzaZnak"/>
    <w:uiPriority w:val="99"/>
    <w:unhideWhenUsed/>
    <w:rsid w:val="00C3285F"/>
    <w:pPr>
      <w:spacing w:line="240" w:lineRule="auto"/>
    </w:pPr>
    <w:rPr>
      <w:sz w:val="20"/>
      <w:szCs w:val="20"/>
    </w:rPr>
  </w:style>
  <w:style w:type="character" w:customStyle="1" w:styleId="TekstkomentarzaZnak">
    <w:name w:val="Tekst komentarza Znak"/>
    <w:basedOn w:val="Domylnaczcionkaakapitu"/>
    <w:link w:val="Tekstkomentarza"/>
    <w:uiPriority w:val="99"/>
    <w:rsid w:val="00C3285F"/>
    <w:rPr>
      <w:sz w:val="20"/>
      <w:szCs w:val="20"/>
    </w:rPr>
  </w:style>
  <w:style w:type="paragraph" w:styleId="Tematkomentarza">
    <w:name w:val="annotation subject"/>
    <w:basedOn w:val="Tekstkomentarza"/>
    <w:next w:val="Tekstkomentarza"/>
    <w:link w:val="TematkomentarzaZnak"/>
    <w:uiPriority w:val="99"/>
    <w:semiHidden/>
    <w:unhideWhenUsed/>
    <w:rsid w:val="00C3285F"/>
    <w:rPr>
      <w:b/>
      <w:bCs/>
    </w:rPr>
  </w:style>
  <w:style w:type="character" w:customStyle="1" w:styleId="TematkomentarzaZnak">
    <w:name w:val="Temat komentarza Znak"/>
    <w:basedOn w:val="TekstkomentarzaZnak"/>
    <w:link w:val="Tematkomentarza"/>
    <w:uiPriority w:val="99"/>
    <w:semiHidden/>
    <w:rsid w:val="00C3285F"/>
    <w:rPr>
      <w:b/>
      <w:bCs/>
      <w:sz w:val="20"/>
      <w:szCs w:val="20"/>
    </w:rPr>
  </w:style>
  <w:style w:type="paragraph" w:styleId="Tekstprzypisukocowego">
    <w:name w:val="endnote text"/>
    <w:basedOn w:val="Normalny"/>
    <w:link w:val="TekstprzypisukocowegoZnak"/>
    <w:uiPriority w:val="99"/>
    <w:semiHidden/>
    <w:unhideWhenUsed/>
    <w:rsid w:val="005F64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64D8"/>
    <w:rPr>
      <w:sz w:val="20"/>
      <w:szCs w:val="20"/>
    </w:rPr>
  </w:style>
  <w:style w:type="character" w:styleId="Odwoanieprzypisukocowego">
    <w:name w:val="endnote reference"/>
    <w:basedOn w:val="Domylnaczcionkaakapitu"/>
    <w:uiPriority w:val="99"/>
    <w:semiHidden/>
    <w:unhideWhenUsed/>
    <w:rsid w:val="005F64D8"/>
    <w:rPr>
      <w:vertAlign w:val="superscript"/>
    </w:rPr>
  </w:style>
  <w:style w:type="paragraph" w:styleId="Tekstprzypisudolnego">
    <w:name w:val="footnote text"/>
    <w:basedOn w:val="Normalny"/>
    <w:link w:val="TekstprzypisudolnegoZnak"/>
    <w:uiPriority w:val="99"/>
    <w:semiHidden/>
    <w:unhideWhenUsed/>
    <w:rsid w:val="00820976"/>
    <w:pPr>
      <w:spacing w:after="0" w:line="360" w:lineRule="auto"/>
      <w:jc w:val="both"/>
    </w:pPr>
    <w:rPr>
      <w:rFonts w:ascii="Trebuchet MS" w:eastAsia="Calibri" w:hAnsi="Trebuchet MS" w:cs="Times New Roman"/>
      <w:sz w:val="20"/>
      <w:szCs w:val="20"/>
    </w:rPr>
  </w:style>
  <w:style w:type="character" w:customStyle="1" w:styleId="TekstprzypisudolnegoZnak">
    <w:name w:val="Tekst przypisu dolnego Znak"/>
    <w:basedOn w:val="Domylnaczcionkaakapitu"/>
    <w:link w:val="Tekstprzypisudolnego"/>
    <w:uiPriority w:val="99"/>
    <w:semiHidden/>
    <w:rsid w:val="00820976"/>
    <w:rPr>
      <w:rFonts w:ascii="Trebuchet MS" w:eastAsia="Calibri" w:hAnsi="Trebuchet MS" w:cs="Times New Roman"/>
      <w:sz w:val="20"/>
      <w:szCs w:val="20"/>
    </w:rPr>
  </w:style>
  <w:style w:type="character" w:styleId="Odwoanieprzypisudolnego">
    <w:name w:val="footnote reference"/>
    <w:uiPriority w:val="99"/>
    <w:semiHidden/>
    <w:unhideWhenUsed/>
    <w:rsid w:val="00820976"/>
    <w:rPr>
      <w:vertAlign w:val="superscript"/>
    </w:rPr>
  </w:style>
  <w:style w:type="character" w:styleId="Uwydatnienie">
    <w:name w:val="Emphasis"/>
    <w:uiPriority w:val="20"/>
    <w:qFormat/>
    <w:rsid w:val="00F25A98"/>
    <w:rPr>
      <w:i/>
      <w:iCs/>
    </w:rPr>
  </w:style>
  <w:style w:type="paragraph" w:customStyle="1" w:styleId="PKTpunkt">
    <w:name w:val="PKT – punkt"/>
    <w:uiPriority w:val="99"/>
    <w:rsid w:val="000D7698"/>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99"/>
    <w:rsid w:val="00CE5FB9"/>
    <w:pPr>
      <w:ind w:left="986" w:hanging="476"/>
    </w:pPr>
  </w:style>
  <w:style w:type="paragraph" w:customStyle="1" w:styleId="ARTartustawynprozporzdzenia">
    <w:name w:val="ART(§) – art. ustawy (§ np. rozporządzenia)"/>
    <w:uiPriority w:val="99"/>
    <w:qFormat/>
    <w:rsid w:val="001E203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ZPKTzmpktartykuempunktem">
    <w:name w:val="Z/PKT – zm. pkt artykułem (punktem)"/>
    <w:basedOn w:val="PKTpunkt"/>
    <w:uiPriority w:val="99"/>
    <w:rsid w:val="005671D5"/>
    <w:pPr>
      <w:ind w:left="1020"/>
    </w:pPr>
  </w:style>
  <w:style w:type="paragraph" w:customStyle="1" w:styleId="artartustawynprozporzdzenia0">
    <w:name w:val="artartustawynprozporzdzenia"/>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ustzmustartykuempunktem">
    <w:name w:val="zustzmus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pktzmpktartykuempunktem0">
    <w:name w:val="zpktzmpk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wpktzmlitwpktartykuempunktem">
    <w:name w:val="zlitwpktzmlitwpk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A49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4997">
      <w:bodyDiv w:val="1"/>
      <w:marLeft w:val="0"/>
      <w:marRight w:val="0"/>
      <w:marTop w:val="0"/>
      <w:marBottom w:val="0"/>
      <w:divBdr>
        <w:top w:val="none" w:sz="0" w:space="0" w:color="auto"/>
        <w:left w:val="none" w:sz="0" w:space="0" w:color="auto"/>
        <w:bottom w:val="none" w:sz="0" w:space="0" w:color="auto"/>
        <w:right w:val="none" w:sz="0" w:space="0" w:color="auto"/>
      </w:divBdr>
    </w:div>
    <w:div w:id="914435174">
      <w:bodyDiv w:val="1"/>
      <w:marLeft w:val="0"/>
      <w:marRight w:val="0"/>
      <w:marTop w:val="0"/>
      <w:marBottom w:val="0"/>
      <w:divBdr>
        <w:top w:val="none" w:sz="0" w:space="0" w:color="auto"/>
        <w:left w:val="none" w:sz="0" w:space="0" w:color="auto"/>
        <w:bottom w:val="none" w:sz="0" w:space="0" w:color="auto"/>
        <w:right w:val="none" w:sz="0" w:space="0" w:color="auto"/>
      </w:divBdr>
    </w:div>
    <w:div w:id="937908898">
      <w:bodyDiv w:val="1"/>
      <w:marLeft w:val="0"/>
      <w:marRight w:val="0"/>
      <w:marTop w:val="0"/>
      <w:marBottom w:val="0"/>
      <w:divBdr>
        <w:top w:val="none" w:sz="0" w:space="0" w:color="auto"/>
        <w:left w:val="none" w:sz="0" w:space="0" w:color="auto"/>
        <w:bottom w:val="none" w:sz="0" w:space="0" w:color="auto"/>
        <w:right w:val="none" w:sz="0" w:space="0" w:color="auto"/>
      </w:divBdr>
    </w:div>
    <w:div w:id="1198591968">
      <w:bodyDiv w:val="1"/>
      <w:marLeft w:val="0"/>
      <w:marRight w:val="0"/>
      <w:marTop w:val="0"/>
      <w:marBottom w:val="0"/>
      <w:divBdr>
        <w:top w:val="none" w:sz="0" w:space="0" w:color="auto"/>
        <w:left w:val="none" w:sz="0" w:space="0" w:color="auto"/>
        <w:bottom w:val="none" w:sz="0" w:space="0" w:color="auto"/>
        <w:right w:val="none" w:sz="0" w:space="0" w:color="auto"/>
      </w:divBdr>
    </w:div>
    <w:div w:id="1256788607">
      <w:bodyDiv w:val="1"/>
      <w:marLeft w:val="0"/>
      <w:marRight w:val="0"/>
      <w:marTop w:val="0"/>
      <w:marBottom w:val="0"/>
      <w:divBdr>
        <w:top w:val="none" w:sz="0" w:space="0" w:color="auto"/>
        <w:left w:val="none" w:sz="0" w:space="0" w:color="auto"/>
        <w:bottom w:val="none" w:sz="0" w:space="0" w:color="auto"/>
        <w:right w:val="none" w:sz="0" w:space="0" w:color="auto"/>
      </w:divBdr>
    </w:div>
    <w:div w:id="1758936694">
      <w:bodyDiv w:val="1"/>
      <w:marLeft w:val="0"/>
      <w:marRight w:val="0"/>
      <w:marTop w:val="0"/>
      <w:marBottom w:val="0"/>
      <w:divBdr>
        <w:top w:val="none" w:sz="0" w:space="0" w:color="auto"/>
        <w:left w:val="none" w:sz="0" w:space="0" w:color="auto"/>
        <w:bottom w:val="none" w:sz="0" w:space="0" w:color="auto"/>
        <w:right w:val="none" w:sz="0" w:space="0" w:color="auto"/>
      </w:divBdr>
    </w:div>
    <w:div w:id="1777938587">
      <w:bodyDiv w:val="1"/>
      <w:marLeft w:val="0"/>
      <w:marRight w:val="0"/>
      <w:marTop w:val="0"/>
      <w:marBottom w:val="0"/>
      <w:divBdr>
        <w:top w:val="none" w:sz="0" w:space="0" w:color="auto"/>
        <w:left w:val="none" w:sz="0" w:space="0" w:color="auto"/>
        <w:bottom w:val="none" w:sz="0" w:space="0" w:color="auto"/>
        <w:right w:val="none" w:sz="0" w:space="0" w:color="auto"/>
      </w:divBdr>
    </w:div>
    <w:div w:id="1791243471">
      <w:bodyDiv w:val="1"/>
      <w:marLeft w:val="0"/>
      <w:marRight w:val="0"/>
      <w:marTop w:val="0"/>
      <w:marBottom w:val="0"/>
      <w:divBdr>
        <w:top w:val="none" w:sz="0" w:space="0" w:color="auto"/>
        <w:left w:val="none" w:sz="0" w:space="0" w:color="auto"/>
        <w:bottom w:val="none" w:sz="0" w:space="0" w:color="auto"/>
        <w:right w:val="none" w:sz="0" w:space="0" w:color="auto"/>
      </w:divBdr>
    </w:div>
    <w:div w:id="1851993229">
      <w:bodyDiv w:val="1"/>
      <w:marLeft w:val="0"/>
      <w:marRight w:val="0"/>
      <w:marTop w:val="0"/>
      <w:marBottom w:val="0"/>
      <w:divBdr>
        <w:top w:val="none" w:sz="0" w:space="0" w:color="auto"/>
        <w:left w:val="none" w:sz="0" w:space="0" w:color="auto"/>
        <w:bottom w:val="none" w:sz="0" w:space="0" w:color="auto"/>
        <w:right w:val="none" w:sz="0" w:space="0" w:color="auto"/>
      </w:divBdr>
    </w:div>
    <w:div w:id="2039574373">
      <w:bodyDiv w:val="1"/>
      <w:marLeft w:val="0"/>
      <w:marRight w:val="0"/>
      <w:marTop w:val="0"/>
      <w:marBottom w:val="0"/>
      <w:divBdr>
        <w:top w:val="none" w:sz="0" w:space="0" w:color="auto"/>
        <w:left w:val="none" w:sz="0" w:space="0" w:color="auto"/>
        <w:bottom w:val="none" w:sz="0" w:space="0" w:color="auto"/>
        <w:right w:val="none" w:sz="0" w:space="0" w:color="auto"/>
      </w:divBdr>
      <w:divsChild>
        <w:div w:id="161166629">
          <w:marLeft w:val="0"/>
          <w:marRight w:val="0"/>
          <w:marTop w:val="0"/>
          <w:marBottom w:val="0"/>
          <w:divBdr>
            <w:top w:val="none" w:sz="0" w:space="0" w:color="auto"/>
            <w:left w:val="none" w:sz="0" w:space="0" w:color="auto"/>
            <w:bottom w:val="none" w:sz="0" w:space="0" w:color="auto"/>
            <w:right w:val="none" w:sz="0" w:space="0" w:color="auto"/>
          </w:divBdr>
        </w:div>
        <w:div w:id="289214007">
          <w:marLeft w:val="0"/>
          <w:marRight w:val="0"/>
          <w:marTop w:val="0"/>
          <w:marBottom w:val="0"/>
          <w:divBdr>
            <w:top w:val="none" w:sz="0" w:space="0" w:color="auto"/>
            <w:left w:val="none" w:sz="0" w:space="0" w:color="auto"/>
            <w:bottom w:val="none" w:sz="0" w:space="0" w:color="auto"/>
            <w:right w:val="none" w:sz="0" w:space="0" w:color="auto"/>
          </w:divBdr>
        </w:div>
        <w:div w:id="665060321">
          <w:marLeft w:val="0"/>
          <w:marRight w:val="0"/>
          <w:marTop w:val="0"/>
          <w:marBottom w:val="0"/>
          <w:divBdr>
            <w:top w:val="none" w:sz="0" w:space="0" w:color="auto"/>
            <w:left w:val="none" w:sz="0" w:space="0" w:color="auto"/>
            <w:bottom w:val="none" w:sz="0" w:space="0" w:color="auto"/>
            <w:right w:val="none" w:sz="0" w:space="0" w:color="auto"/>
          </w:divBdr>
        </w:div>
        <w:div w:id="782722959">
          <w:marLeft w:val="0"/>
          <w:marRight w:val="0"/>
          <w:marTop w:val="0"/>
          <w:marBottom w:val="0"/>
          <w:divBdr>
            <w:top w:val="none" w:sz="0" w:space="0" w:color="auto"/>
            <w:left w:val="none" w:sz="0" w:space="0" w:color="auto"/>
            <w:bottom w:val="none" w:sz="0" w:space="0" w:color="auto"/>
            <w:right w:val="none" w:sz="0" w:space="0" w:color="auto"/>
          </w:divBdr>
        </w:div>
        <w:div w:id="1205363873">
          <w:marLeft w:val="0"/>
          <w:marRight w:val="0"/>
          <w:marTop w:val="0"/>
          <w:marBottom w:val="0"/>
          <w:divBdr>
            <w:top w:val="none" w:sz="0" w:space="0" w:color="auto"/>
            <w:left w:val="none" w:sz="0" w:space="0" w:color="auto"/>
            <w:bottom w:val="none" w:sz="0" w:space="0" w:color="auto"/>
            <w:right w:val="none" w:sz="0" w:space="0" w:color="auto"/>
          </w:divBdr>
        </w:div>
        <w:div w:id="1304853554">
          <w:marLeft w:val="0"/>
          <w:marRight w:val="0"/>
          <w:marTop w:val="0"/>
          <w:marBottom w:val="0"/>
          <w:divBdr>
            <w:top w:val="none" w:sz="0" w:space="0" w:color="auto"/>
            <w:left w:val="none" w:sz="0" w:space="0" w:color="auto"/>
            <w:bottom w:val="none" w:sz="0" w:space="0" w:color="auto"/>
            <w:right w:val="none" w:sz="0" w:space="0" w:color="auto"/>
          </w:divBdr>
        </w:div>
        <w:div w:id="1489247724">
          <w:marLeft w:val="0"/>
          <w:marRight w:val="0"/>
          <w:marTop w:val="0"/>
          <w:marBottom w:val="0"/>
          <w:divBdr>
            <w:top w:val="none" w:sz="0" w:space="0" w:color="auto"/>
            <w:left w:val="none" w:sz="0" w:space="0" w:color="auto"/>
            <w:bottom w:val="none" w:sz="0" w:space="0" w:color="auto"/>
            <w:right w:val="none" w:sz="0" w:space="0" w:color="auto"/>
          </w:divBdr>
        </w:div>
        <w:div w:id="1512061407">
          <w:marLeft w:val="0"/>
          <w:marRight w:val="0"/>
          <w:marTop w:val="0"/>
          <w:marBottom w:val="0"/>
          <w:divBdr>
            <w:top w:val="none" w:sz="0" w:space="0" w:color="auto"/>
            <w:left w:val="none" w:sz="0" w:space="0" w:color="auto"/>
            <w:bottom w:val="none" w:sz="0" w:space="0" w:color="auto"/>
            <w:right w:val="none" w:sz="0" w:space="0" w:color="auto"/>
          </w:divBdr>
        </w:div>
        <w:div w:id="1941984346">
          <w:marLeft w:val="0"/>
          <w:marRight w:val="0"/>
          <w:marTop w:val="0"/>
          <w:marBottom w:val="0"/>
          <w:divBdr>
            <w:top w:val="none" w:sz="0" w:space="0" w:color="auto"/>
            <w:left w:val="none" w:sz="0" w:space="0" w:color="auto"/>
            <w:bottom w:val="none" w:sz="0" w:space="0" w:color="auto"/>
            <w:right w:val="none" w:sz="0" w:space="0" w:color="auto"/>
          </w:divBdr>
        </w:div>
      </w:divsChild>
    </w:div>
    <w:div w:id="2063285097">
      <w:bodyDiv w:val="1"/>
      <w:marLeft w:val="0"/>
      <w:marRight w:val="0"/>
      <w:marTop w:val="0"/>
      <w:marBottom w:val="0"/>
      <w:divBdr>
        <w:top w:val="none" w:sz="0" w:space="0" w:color="auto"/>
        <w:left w:val="none" w:sz="0" w:space="0" w:color="auto"/>
        <w:bottom w:val="none" w:sz="0" w:space="0" w:color="auto"/>
        <w:right w:val="none" w:sz="0" w:space="0" w:color="auto"/>
      </w:divBdr>
      <w:divsChild>
        <w:div w:id="680820064">
          <w:marLeft w:val="0"/>
          <w:marRight w:val="0"/>
          <w:marTop w:val="0"/>
          <w:marBottom w:val="0"/>
          <w:divBdr>
            <w:top w:val="none" w:sz="0" w:space="0" w:color="auto"/>
            <w:left w:val="none" w:sz="0" w:space="0" w:color="auto"/>
            <w:bottom w:val="none" w:sz="0" w:space="0" w:color="auto"/>
            <w:right w:val="none" w:sz="0" w:space="0" w:color="auto"/>
          </w:divBdr>
        </w:div>
        <w:div w:id="767047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86F9E-9055-4744-820E-2B151784A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3522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Dziubiak Marta</dc:creator>
  <cp:keywords/>
  <dc:description/>
  <cp:lastModifiedBy>Sobczyński Grzegorz</cp:lastModifiedBy>
  <cp:revision>2</cp:revision>
  <cp:lastPrinted>2019-08-22T07:42:00Z</cp:lastPrinted>
  <dcterms:created xsi:type="dcterms:W3CDTF">2021-10-25T09:06:00Z</dcterms:created>
  <dcterms:modified xsi:type="dcterms:W3CDTF">2021-10-25T09:06:00Z</dcterms:modified>
</cp:coreProperties>
</file>